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5E2BC">
      <w:pPr>
        <w:spacing w:line="360" w:lineRule="auto"/>
        <w:jc w:val="both"/>
        <w:rPr>
          <w:rFonts w:hint="eastAsia" w:ascii="仿宋" w:hAnsi="仿宋" w:eastAsia="仿宋" w:cs="仿宋"/>
          <w:b/>
          <w:bCs/>
          <w:color w:val="auto"/>
          <w:sz w:val="32"/>
          <w:szCs w:val="32"/>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782320</wp:posOffset>
                </wp:positionV>
                <wp:extent cx="6809105" cy="800100"/>
                <wp:effectExtent l="4445" t="4445" r="6350" b="14605"/>
                <wp:wrapNone/>
                <wp:docPr id="17" name="文本框 17"/>
                <wp:cNvGraphicFramePr/>
                <a:graphic xmlns:a="http://schemas.openxmlformats.org/drawingml/2006/main">
                  <a:graphicData uri="http://schemas.microsoft.com/office/word/2010/wordprocessingShape">
                    <wps:wsp>
                      <wps:cNvSpPr txBox="1"/>
                      <wps:spPr>
                        <a:xfrm>
                          <a:off x="1680210" y="1753870"/>
                          <a:ext cx="6809105" cy="800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D3BA90D">
                            <w:pPr>
                              <w:rPr>
                                <w:rFonts w:hint="eastAsia" w:eastAsia="华文行楷"/>
                                <w:color w:val="FF0000"/>
                                <w:sz w:val="84"/>
                              </w:rPr>
                            </w:pPr>
                            <w:r>
                              <w:rPr>
                                <w:rFonts w:hint="eastAsia" w:eastAsia="华文行楷"/>
                                <w:color w:val="FF0000"/>
                                <w:sz w:val="84"/>
                              </w:rPr>
                              <w:t>中国技术市场工作简报</w:t>
                            </w:r>
                          </w:p>
                          <w:p w14:paraId="714CDAA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61.6pt;height:63pt;width:536.15pt;z-index:251660288;mso-width-relative:page;mso-height-relative:page;" fillcolor="#FFFFFF [3201]" filled="t" stroked="t" coordsize="21600,21600" o:gfxdata="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H&#10;iS3Y2QAAAAwBAAAPAAAAAAAAAAEAIAAAACIAAABkcnMvZG93bnJldi54bWxQSwECFAAUAAAACACH&#10;TuJAzClzqFwCAADGBAAADgAAAAAAAAABACAAAAAoAQAAZHJzL2Uyb0RvYy54bWxQSwUGAAAAAAYA&#10;BgBZAQAA9gUAAAAA&#10;">
                <v:fill on="t" focussize="0,0"/>
                <v:stroke weight="0.5pt" color="#FFFFFF [3212]" joinstyle="round"/>
                <v:imagedata o:title=""/>
                <o:lock v:ext="edit" aspectratio="f"/>
                <v:textbox>
                  <w:txbxContent>
                    <w:p w14:paraId="1D3BA90D">
                      <w:pPr>
                        <w:rPr>
                          <w:rFonts w:hint="eastAsia" w:eastAsia="华文行楷"/>
                          <w:color w:val="FF0000"/>
                          <w:sz w:val="84"/>
                        </w:rPr>
                      </w:pPr>
                      <w:r>
                        <w:rPr>
                          <w:rFonts w:hint="eastAsia" w:eastAsia="华文行楷"/>
                          <w:color w:val="FF0000"/>
                          <w:sz w:val="84"/>
                        </w:rPr>
                        <w:t>中国技术市场工作简报</w:t>
                      </w:r>
                    </w:p>
                    <w:p w14:paraId="714CDAA8"/>
                  </w:txbxContent>
                </v:textbox>
              </v:shape>
            </w:pict>
          </mc:Fallback>
        </mc:AlternateContent>
      </w:r>
      <w:r>
        <w:rPr>
          <w:rFonts w:hint="eastAsia" w:eastAsia="楷体_GB2312"/>
          <w:color w:val="000000"/>
          <w:lang w:val="en-US" w:eastAsia="zh-CN"/>
        </w:rPr>
        <w:t xml:space="preserve">   </w:t>
      </w:r>
      <w:r>
        <w:rPr>
          <w:rFonts w:eastAsia="楷体_GB2312"/>
          <w:color w:val="000000"/>
        </w:rPr>
        <w:drawing>
          <wp:inline distT="0" distB="0" distL="114300" distR="114300">
            <wp:extent cx="5301615" cy="21844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301615" cy="2184400"/>
                    </a:xfrm>
                    <a:prstGeom prst="rect">
                      <a:avLst/>
                    </a:prstGeom>
                    <a:noFill/>
                    <a:ln>
                      <a:noFill/>
                    </a:ln>
                  </pic:spPr>
                </pic:pic>
              </a:graphicData>
            </a:graphic>
          </wp:inline>
        </w:drawing>
      </w:r>
    </w:p>
    <w:p w14:paraId="5456B030">
      <w:pPr>
        <w:spacing w:line="360" w:lineRule="auto"/>
        <w:ind w:firstLine="2240" w:firstLineChars="700"/>
        <w:jc w:val="both"/>
        <w:rPr>
          <w:rFonts w:hint="eastAsia" w:ascii="仿宋" w:hAnsi="仿宋" w:eastAsia="仿宋" w:cs="仿宋"/>
          <w:b w:val="0"/>
          <w:bCs w:val="0"/>
          <w:color w:val="auto"/>
          <w:sz w:val="32"/>
          <w:szCs w:val="32"/>
          <w:lang w:val="en-US" w:eastAsia="zh-CN"/>
        </w:rPr>
      </w:pPr>
    </w:p>
    <w:p w14:paraId="626D088C">
      <w:pPr>
        <w:spacing w:line="360" w:lineRule="auto"/>
        <w:ind w:firstLine="2240" w:firstLineChars="700"/>
        <w:jc w:val="both"/>
        <w:rPr>
          <w:rFonts w:hint="eastAsia" w:ascii="宋体" w:hAnsi="宋体" w:eastAsia="宋体" w:cs="宋体"/>
          <w:b w:val="0"/>
          <w:bCs w:val="0"/>
          <w:color w:val="auto"/>
          <w:sz w:val="32"/>
          <w:szCs w:val="3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b w:val="0"/>
          <w:bCs w:val="0"/>
          <w:color w:val="auto"/>
          <w:sz w:val="32"/>
          <w:szCs w:val="32"/>
          <w:lang w:val="en-US" w:eastAsia="zh-CN"/>
          <w14:glow w14:rad="0">
            <w14:srgbClr w14:val="000000"/>
          </w14:glow>
          <w14:reflection w14:blurRad="0" w14:stA="0" w14:stPos="0" w14:endA="0" w14:endPos="0" w14:dist="0" w14:dir="0" w14:fadeDir="0" w14:sx="0" w14:sy="0" w14:kx="0" w14:ky="0" w14:algn="none"/>
          <w14:props3d w14:extrusionH="0" w14:contourW="0" w14:prstMaterial="clear"/>
        </w:rPr>
        <w:t>2024年第二期（总495期）</w:t>
      </w:r>
    </w:p>
    <w:p w14:paraId="359F61A5">
      <w:pPr>
        <w:jc w:val="both"/>
        <w:rPr>
          <w:rFonts w:hint="eastAsia" w:asciiTheme="majorEastAsia" w:hAnsiTheme="majorEastAsia" w:eastAsiaTheme="majorEastAsia" w:cstheme="majorEastAsia"/>
          <w:b w:val="0"/>
          <w:bCs w:val="0"/>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p>
    <w:p w14:paraId="4C23AD3F">
      <w:pPr>
        <w:jc w:val="both"/>
        <w:rPr>
          <w:rFonts w:hint="eastAsia" w:asciiTheme="majorEastAsia" w:hAnsiTheme="majorEastAsia" w:eastAsiaTheme="majorEastAsia" w:cstheme="majorEastAsia"/>
          <w:b w:val="0"/>
          <w:bCs w:val="0"/>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p>
    <w:p w14:paraId="037A2607">
      <w:pPr>
        <w:jc w:val="both"/>
        <w:rPr>
          <w:rFonts w:hint="eastAsia" w:asciiTheme="majorEastAsia" w:hAnsiTheme="majorEastAsia" w:eastAsiaTheme="majorEastAsia" w:cstheme="majorEastAsia"/>
          <w:b/>
          <w:bCs/>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r>
        <w:rPr>
          <w:rFonts w:hint="eastAsia" w:asciiTheme="majorEastAsia" w:hAnsiTheme="majorEastAsia" w:eastAsiaTheme="majorEastAsia" w:cstheme="majorEastAsia"/>
          <w:b w:val="0"/>
          <w:bCs w:val="0"/>
          <w:color w:val="auto"/>
          <w:sz w:val="22"/>
          <w14:glow w14:rad="0">
            <w14:srgbClr w14:val="000000"/>
          </w14:glow>
          <w14:reflection w14:blurRad="0" w14:stA="0" w14:stPos="0" w14:endA="0" w14:endPos="0" w14:dist="0" w14:dir="0" w14:fadeDir="0" w14:sx="0" w14:sy="0" w14:kx="0" w14:ky="0" w14:algn="none"/>
          <w14:props3d w14:extrusionH="0" w14:contourW="0" w14:prstMaterial="clear"/>
        </w:rPr>
        <mc:AlternateContent>
          <mc:Choice Requires="wps">
            <w:drawing>
              <wp:anchor distT="0" distB="0" distL="114300" distR="114300" simplePos="0" relativeHeight="251659264" behindDoc="0" locked="0" layoutInCell="1" allowOverlap="1">
                <wp:simplePos x="0" y="0"/>
                <wp:positionH relativeFrom="column">
                  <wp:posOffset>-325120</wp:posOffset>
                </wp:positionH>
                <wp:positionV relativeFrom="paragraph">
                  <wp:posOffset>220345</wp:posOffset>
                </wp:positionV>
                <wp:extent cx="6276975" cy="0"/>
                <wp:effectExtent l="15875" t="15875" r="31750" b="22225"/>
                <wp:wrapNone/>
                <wp:docPr id="1" name="直接连接符 1"/>
                <wp:cNvGraphicFramePr/>
                <a:graphic xmlns:a="http://schemas.openxmlformats.org/drawingml/2006/main">
                  <a:graphicData uri="http://schemas.microsoft.com/office/word/2010/wordprocessingShape">
                    <wps:wsp>
                      <wps:cNvCnPr/>
                      <wps:spPr>
                        <a:xfrm>
                          <a:off x="846455" y="4039870"/>
                          <a:ext cx="6276975" cy="0"/>
                        </a:xfrm>
                        <a:prstGeom prst="line">
                          <a:avLst/>
                        </a:prstGeom>
                        <a:ln w="31750" cap="rnd">
                          <a:solidFill>
                            <a:srgbClr val="00007F"/>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6pt;margin-top:17.35pt;height:0pt;width:494.25pt;z-index:251659264;mso-width-relative:page;mso-height-relative:page;" filled="f" stroked="t" coordsize="21600,21600" o:gfxdata="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6ytTC1gAAAAkBAAAPAAAAAAAAAAEAIAAA&#10;ACIAAABkcnMvZG93bnJldi54bWxQSwECFAAUAAAACACHTuJAjzG7t9UBAACAAwAADgAAAAAAAAAB&#10;ACAAAAAlAQAAZHJzL2Uyb0RvYy54bWxQSwUGAAAAAAYABgBZAQAAbAUAAAAA&#10;">
                <v:fill on="f" focussize="0,0"/>
                <v:stroke weight="2.5pt" color="#00007F" joinstyle="round" endcap="round"/>
                <v:imagedata o:title=""/>
                <o:lock v:ext="edit" aspectratio="f"/>
              </v:line>
            </w:pict>
          </mc:Fallback>
        </mc:AlternateContent>
      </w:r>
      <w:r>
        <w:rPr>
          <w:rFonts w:hint="eastAsia" w:asciiTheme="majorEastAsia" w:hAnsiTheme="majorEastAsia" w:eastAsiaTheme="majorEastAsia" w:cstheme="majorEastAsia"/>
          <w:b w:val="0"/>
          <w:bCs w:val="0"/>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t xml:space="preserve">中 国 技 术 市 场 协 会  编 印  </w:t>
      </w:r>
      <w:r>
        <w:rPr>
          <w:rFonts w:hint="eastAsia" w:asciiTheme="majorEastAsia" w:hAnsiTheme="majorEastAsia" w:eastAsiaTheme="majorEastAsia" w:cstheme="majorEastAsia"/>
          <w:b/>
          <w:bCs/>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t xml:space="preserve">                        </w:t>
      </w:r>
      <w:r>
        <w:rPr>
          <w:rFonts w:hint="eastAsia" w:asciiTheme="majorEastAsia" w:hAnsiTheme="majorEastAsia" w:eastAsiaTheme="majorEastAsia" w:cstheme="majorEastAsia"/>
          <w:b w:val="0"/>
          <w:bCs w:val="0"/>
          <w:color w:val="auto"/>
          <w:sz w:val="22"/>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t xml:space="preserve">     二零二四年七月</w:t>
      </w:r>
    </w:p>
    <w:p w14:paraId="7C82B5BC">
      <w:pPr>
        <w:pStyle w:val="4"/>
        <w:bidi w:val="0"/>
        <w:jc w:val="both"/>
        <w:rPr>
          <w:rFonts w:hint="eastAsia"/>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目 录：</w:t>
      </w:r>
    </w:p>
    <w:p w14:paraId="1DB8C90D">
      <w:pPr>
        <w:pStyle w:val="4"/>
        <w:numPr>
          <w:ilvl w:val="0"/>
          <w:numId w:val="1"/>
        </w:numPr>
        <w:bidi w:val="0"/>
        <w:ind w:left="420" w:leftChars="0" w:hanging="420" w:firstLineChars="0"/>
        <w:jc w:val="both"/>
        <w:rPr>
          <w:rFonts w:hint="eastAsia"/>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i w:val="0"/>
          <w:iCs w:val="0"/>
          <w:caps w:val="0"/>
          <w:color w:val="000000" w:themeColor="text1"/>
          <w:spacing w:val="0"/>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国内时事.................1</w:t>
      </w:r>
    </w:p>
    <w:p w14:paraId="40F75C87">
      <w:pPr>
        <w:ind w:firstLine="600" w:firstLineChars="200"/>
        <w:rPr>
          <w:rFonts w:hint="eastAsia"/>
          <w:sz w:val="30"/>
          <w:szCs w:val="30"/>
          <w:lang w:val="en-US" w:eastAsia="zh-CN"/>
        </w:rPr>
      </w:pPr>
      <w:r>
        <w:rPr>
          <w:rFonts w:hint="eastAsia"/>
          <w:sz w:val="30"/>
          <w:szCs w:val="30"/>
          <w:lang w:val="en-US" w:eastAsia="zh-CN"/>
        </w:rPr>
        <w:t>一、十四届全国人大二次会议在京开幕</w:t>
      </w:r>
    </w:p>
    <w:p w14:paraId="6109CCE5">
      <w:pPr>
        <w:ind w:firstLine="600" w:firstLineChars="200"/>
        <w:rPr>
          <w:rFonts w:hint="default"/>
          <w:sz w:val="30"/>
          <w:szCs w:val="30"/>
          <w:lang w:val="en-US" w:eastAsia="zh-CN"/>
        </w:rPr>
      </w:pPr>
      <w:r>
        <w:rPr>
          <w:rFonts w:hint="eastAsia"/>
          <w:sz w:val="30"/>
          <w:szCs w:val="30"/>
          <w:lang w:val="en-US" w:eastAsia="zh-CN"/>
        </w:rPr>
        <w:t>二、中国式现代化要靠科技现代化作支撑</w:t>
      </w:r>
    </w:p>
    <w:p w14:paraId="614AA95D">
      <w:pPr>
        <w:numPr>
          <w:ilvl w:val="0"/>
          <w:numId w:val="1"/>
        </w:numPr>
        <w:ind w:left="420" w:leftChars="0" w:hanging="420" w:firstLineChars="0"/>
        <w:rPr>
          <w:rFonts w:hint="eastAsia" w:ascii="仿宋" w:hAnsi="仿宋" w:eastAsia="仿宋" w:cs="仿宋"/>
          <w:b/>
          <w:bCs/>
          <w:i w:val="0"/>
          <w:iCs w:val="0"/>
          <w:caps w:val="0"/>
          <w:color w:val="000000" w:themeColor="text1"/>
          <w:spacing w:val="0"/>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i w:val="0"/>
          <w:iCs w:val="0"/>
          <w:caps w:val="0"/>
          <w:color w:val="000000" w:themeColor="text1"/>
          <w:spacing w:val="0"/>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协会动态.................12</w:t>
      </w:r>
    </w:p>
    <w:p w14:paraId="79892893">
      <w:pPr>
        <w:ind w:firstLine="600" w:firstLineChars="200"/>
        <w:rPr>
          <w:rFonts w:hint="eastAsia"/>
          <w:sz w:val="30"/>
          <w:szCs w:val="30"/>
          <w:lang w:val="en-US" w:eastAsia="zh-CN"/>
        </w:rPr>
      </w:pPr>
      <w:r>
        <w:rPr>
          <w:rFonts w:hint="eastAsia"/>
          <w:sz w:val="30"/>
          <w:szCs w:val="30"/>
          <w:lang w:val="en-US" w:eastAsia="zh-CN"/>
        </w:rPr>
        <w:t>三、中国技术市场协会第六届二次常务理事会在沪召开</w:t>
      </w:r>
    </w:p>
    <w:p w14:paraId="677182A4">
      <w:pPr>
        <w:ind w:firstLine="600" w:firstLineChars="200"/>
        <w:rPr>
          <w:rFonts w:hint="default"/>
          <w:sz w:val="30"/>
          <w:szCs w:val="30"/>
          <w:lang w:val="en-US"/>
        </w:rPr>
      </w:pPr>
      <w:r>
        <w:rPr>
          <w:rFonts w:hint="eastAsia"/>
          <w:sz w:val="30"/>
          <w:szCs w:val="30"/>
          <w:lang w:val="en-US" w:eastAsia="zh-CN"/>
        </w:rPr>
        <w:t>四、中国技术市场协会贯彻学习二十届三中全会精神汇报</w:t>
      </w:r>
    </w:p>
    <w:p w14:paraId="16023F3C">
      <w:pPr>
        <w:numPr>
          <w:ilvl w:val="0"/>
          <w:numId w:val="1"/>
        </w:numPr>
        <w:ind w:left="420" w:leftChars="0" w:hanging="420" w:firstLineChars="0"/>
        <w:rPr>
          <w:rFonts w:hint="eastAsia" w:ascii="仿宋" w:hAnsi="仿宋" w:eastAsia="仿宋" w:cs="仿宋"/>
          <w:b/>
          <w:bCs/>
          <w:i w:val="0"/>
          <w:iCs w:val="0"/>
          <w:caps w:val="0"/>
          <w:color w:val="000000" w:themeColor="text1"/>
          <w:spacing w:val="0"/>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i w:val="0"/>
          <w:iCs w:val="0"/>
          <w:caps w:val="0"/>
          <w:color w:val="000000" w:themeColor="text1"/>
          <w:spacing w:val="0"/>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会员之窗.................18</w:t>
      </w:r>
    </w:p>
    <w:p w14:paraId="65622BC8">
      <w:pPr>
        <w:bidi w:val="0"/>
        <w:ind w:firstLine="600" w:firstLineChars="200"/>
        <w:rPr>
          <w:rFonts w:hint="eastAsia" w:ascii="宋体" w:hAnsi="宋体" w:eastAsia="宋体" w:cs="宋体"/>
          <w:sz w:val="30"/>
          <w:szCs w:val="30"/>
        </w:rPr>
      </w:pPr>
      <w:r>
        <w:rPr>
          <w:rFonts w:hint="eastAsia" w:ascii="宋体" w:hAnsi="宋体" w:cs="宋体"/>
          <w:sz w:val="30"/>
          <w:szCs w:val="30"/>
          <w:lang w:val="en-US" w:eastAsia="zh-CN"/>
        </w:rPr>
        <w:t>五、</w:t>
      </w:r>
      <w:r>
        <w:rPr>
          <w:rFonts w:hint="eastAsia" w:ascii="宋体" w:hAnsi="宋体" w:eastAsia="宋体" w:cs="宋体"/>
          <w:sz w:val="30"/>
          <w:szCs w:val="30"/>
          <w:lang w:val="en-US" w:eastAsia="zh-CN"/>
        </w:rPr>
        <w:t>北京技术市场协会承办</w:t>
      </w:r>
      <w:r>
        <w:rPr>
          <w:rFonts w:hint="eastAsia" w:ascii="宋体" w:hAnsi="宋体" w:eastAsia="宋体" w:cs="宋体"/>
          <w:sz w:val="30"/>
          <w:szCs w:val="30"/>
        </w:rPr>
        <w:t>首届科技咨询师职业技能大赛</w:t>
      </w:r>
    </w:p>
    <w:p w14:paraId="3704F7B9">
      <w:pPr>
        <w:bidi w:val="0"/>
        <w:rPr>
          <w:rFonts w:hint="eastAsia"/>
          <w:lang w:val="en-US" w:eastAsia="zh-CN"/>
        </w:rPr>
      </w:pPr>
    </w:p>
    <w:p w14:paraId="71DAA60A">
      <w:pPr>
        <w:numPr>
          <w:ilvl w:val="0"/>
          <w:numId w:val="0"/>
        </w:numPr>
        <w:ind w:leftChars="0"/>
        <w:rPr>
          <w:rFonts w:hint="default" w:ascii="仿宋" w:hAnsi="仿宋" w:eastAsia="仿宋" w:cs="仿宋"/>
          <w:b/>
          <w:bCs/>
          <w:i w:val="0"/>
          <w:iCs w:val="0"/>
          <w:caps w:val="0"/>
          <w:color w:val="000000" w:themeColor="text1"/>
          <w:spacing w:val="0"/>
          <w:sz w:val="24"/>
          <w:szCs w:val="24"/>
          <w:lang w:val="en-US" w:eastAsia="zh-CN"/>
          <w14:textFill>
            <w14:solidFill>
              <w14:schemeClr w14:val="tx1"/>
            </w14:solidFill>
          </w14:textFill>
        </w:rPr>
      </w:pPr>
      <w:r>
        <w:rPr>
          <w:sz w:val="52"/>
        </w:rPr>
        <mc:AlternateContent>
          <mc:Choice Requires="wps">
            <w:drawing>
              <wp:anchor distT="0" distB="0" distL="114300" distR="114300" simplePos="0" relativeHeight="251661312" behindDoc="0" locked="0" layoutInCell="1" allowOverlap="1">
                <wp:simplePos x="0" y="0"/>
                <wp:positionH relativeFrom="column">
                  <wp:posOffset>2689860</wp:posOffset>
                </wp:positionH>
                <wp:positionV relativeFrom="paragraph">
                  <wp:posOffset>318770</wp:posOffset>
                </wp:positionV>
                <wp:extent cx="3752850" cy="0"/>
                <wp:effectExtent l="15875" t="15875" r="22225" b="22225"/>
                <wp:wrapNone/>
                <wp:docPr id="19" name="直接连接符 19"/>
                <wp:cNvGraphicFramePr/>
                <a:graphic xmlns:a="http://schemas.openxmlformats.org/drawingml/2006/main">
                  <a:graphicData uri="http://schemas.microsoft.com/office/word/2010/wordprocessingShape">
                    <wps:wsp>
                      <wps:cNvCnPr/>
                      <wps:spPr>
                        <a:xfrm>
                          <a:off x="3823335" y="9516745"/>
                          <a:ext cx="3752850" cy="0"/>
                        </a:xfrm>
                        <a:prstGeom prst="line">
                          <a:avLst/>
                        </a:prstGeom>
                        <a:ln w="31750" cap="rnd">
                          <a:gradFill>
                            <a:gsLst>
                              <a:gs pos="1000">
                                <a:srgbClr val="E3DEB8"/>
                              </a:gs>
                              <a:gs pos="100000">
                                <a:srgbClr val="5B5037"/>
                              </a:gs>
                            </a:gsLst>
                            <a:lin ang="2700000" scaled="0"/>
                          </a:gra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1.8pt;margin-top:25.1pt;height:0pt;width:295.5pt;z-index:251661312;mso-width-relative:page;mso-height-relative:page;" filled="f" stroked="t" coordsize="21600,21600" o:gfxdata="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kUgw2QAAAAoBAAAPAAAAAAAAAAEAIAAA&#10;ACIAAABkcnMvZG93bnJldi54bWxQSwECFAAUAAAACACHTuJAJXdfpgsCAAAABAAADgAAAAAAAAAB&#10;ACAAAAAoAQAAZHJzL2Uyb0RvYy54bWxQSwUGAAAAAAYABgBZAQAApQUAAAAA&#10;">
                <v:fill on="f" focussize="0,0"/>
                <v:stroke weight="2.5pt" color="#000000" joinstyle="round" endcap="round"/>
                <v:imagedata o:title=""/>
                <o:lock v:ext="edit" aspectratio="f"/>
              </v:line>
            </w:pict>
          </mc:Fallback>
        </mc:AlternateContent>
      </w:r>
      <w:r>
        <w:rPr>
          <w:rFonts w:hint="eastAsia" w:ascii="仿宋" w:hAnsi="仿宋" w:eastAsia="仿宋" w:cs="仿宋"/>
          <w:b/>
          <w:bCs/>
          <w:i w:val="0"/>
          <w:iCs w:val="0"/>
          <w:caps w:val="0"/>
          <w:color w:val="333333"/>
          <w:spacing w:val="0"/>
          <w:sz w:val="52"/>
          <w:szCs w:val="52"/>
          <w:lang w:val="en-US" w:eastAsia="zh-CN"/>
        </w:rPr>
        <w:t xml:space="preserve"> </w:t>
      </w:r>
      <w:r>
        <w:rPr>
          <w:rFonts w:hint="eastAsia" w:ascii="仿宋" w:hAnsi="仿宋" w:eastAsia="仿宋" w:cs="仿宋"/>
          <w:b/>
          <w:bCs/>
          <w:i w:val="0"/>
          <w:iCs w:val="0"/>
          <w:caps w:val="0"/>
          <w:color w:val="333333"/>
          <w:spacing w:val="0"/>
          <w:sz w:val="28"/>
          <w:szCs w:val="28"/>
          <w:lang w:val="en-US" w:eastAsia="zh-CN"/>
        </w:rPr>
        <w:t xml:space="preserve">                                   </w:t>
      </w:r>
      <w:r>
        <w:rPr>
          <w:rFonts w:hint="eastAsia" w:ascii="仿宋" w:hAnsi="仿宋" w:eastAsia="仿宋" w:cs="仿宋"/>
          <w:b/>
          <w:bCs/>
          <w:i w:val="0"/>
          <w:iCs w:val="0"/>
          <w:caps w:val="0"/>
          <w:color w:val="000000" w:themeColor="text1"/>
          <w:spacing w:val="0"/>
          <w:sz w:val="28"/>
          <w:szCs w:val="28"/>
          <w:lang w:val="en-US" w:eastAsia="zh-CN"/>
          <w14:textFill>
            <w14:solidFill>
              <w14:schemeClr w14:val="tx1"/>
            </w14:solidFill>
          </w14:textFill>
        </w:rPr>
        <w:t xml:space="preserve">  中国技术市场协会主办</w:t>
      </w:r>
    </w:p>
    <w:p w14:paraId="37729267">
      <w:pPr>
        <w:keepNext w:val="0"/>
        <w:keepLines w:val="0"/>
        <w:pageBreakBefore w:val="0"/>
        <w:widowControl w:val="0"/>
        <w:numPr>
          <w:ilvl w:val="0"/>
          <w:numId w:val="0"/>
        </w:numPr>
        <w:kinsoku/>
        <w:wordWrap/>
        <w:overflowPunct/>
        <w:topLinePunct w:val="0"/>
        <w:autoSpaceDE/>
        <w:autoSpaceDN/>
        <w:bidi w:val="0"/>
        <w:adjustRightInd/>
        <w:snapToGrid/>
        <w:spacing w:afterAutospacing="0" w:line="200" w:lineRule="atLeast"/>
        <w:ind w:leftChars="0"/>
        <w:jc w:val="left"/>
        <w:textAlignment w:val="auto"/>
        <w:rPr>
          <w:rFonts w:hint="eastAsia" w:ascii="华文行楷" w:hAnsi="华文行楷" w:eastAsia="华文行楷" w:cs="华文行楷"/>
          <w:b/>
          <w:bCs/>
          <w:color w:val="CFCECE" w:themeColor="background2" w:themeShade="E5"/>
          <w:sz w:val="72"/>
          <w:szCs w:val="72"/>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4C76066C">
      <w:pPr>
        <w:numPr>
          <w:ilvl w:val="0"/>
          <w:numId w:val="0"/>
        </w:numPr>
        <w:jc w:val="both"/>
        <w:rPr>
          <w:rFonts w:hint="eastAsia" w:ascii="微软雅黑" w:hAnsi="微软雅黑" w:eastAsia="微软雅黑" w:cs="微软雅黑"/>
          <w:b/>
          <w:bCs/>
          <w:i w:val="0"/>
          <w:iCs w:val="0"/>
          <w:caps w:val="0"/>
          <w:color w:val="333333"/>
          <w:spacing w:val="0"/>
          <w:sz w:val="44"/>
          <w:szCs w:val="44"/>
          <w:shd w:val="clear" w:fill="FFFFFF"/>
          <w:lang w:val="en-US"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5404E">
                            <w:pPr>
                              <w:numPr>
                                <w:ilvl w:val="0"/>
                                <w:numId w:val="2"/>
                              </w:numPr>
                              <w:tabs>
                                <w:tab w:val="left" w:pos="816"/>
                              </w:tabs>
                              <w:ind w:left="420" w:leftChars="0" w:hanging="420" w:firstLineChars="0"/>
                              <w:jc w:val="both"/>
                              <w:rPr>
                                <w:rFonts w:hint="eastAsia" w:ascii="微软雅黑" w:hAnsi="微软雅黑" w:eastAsia="微软雅黑" w:cs="微软雅黑"/>
                                <w:b w:val="0"/>
                                <w:bCs w:val="0"/>
                                <w:i w:val="0"/>
                                <w:iCs w:val="0"/>
                                <w:caps w:val="0"/>
                                <w:color w:val="000000" w:themeColor="text1"/>
                                <w:spacing w:val="0"/>
                                <w:sz w:val="72"/>
                                <w:szCs w:val="7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pPr>
                            <w:r>
                              <w:rPr>
                                <w:rFonts w:hint="eastAsia" w:ascii="华文行楷" w:hAnsi="华文行楷" w:eastAsia="华文行楷" w:cs="华文行楷"/>
                                <w:b w:val="0"/>
                                <w:bCs w:val="0"/>
                                <w:color w:val="000000" w:themeColor="text1"/>
                                <w:sz w:val="72"/>
                                <w:szCs w:val="72"/>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t>国内时事</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2336;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45yS50QAAAAUBAAAPAAAAAAAAAAEAIAAAACIAAABkcnMvZG93bnJldi54bWxQ&#10;SwECFAAUAAAACACHTuJAMptilTcCAABnBAAADgAAAAAAAAABACAAAAAgAQAAZHJzL2Uyb0RvYy54&#10;bWxQSwUGAAAAAAYABgBZAQAAyQUAAAAA&#10;">
                <v:fill on="f" focussize="0,0"/>
                <v:stroke on="f" weight="0.5pt"/>
                <v:imagedata o:title=""/>
                <o:lock v:ext="edit" aspectratio="f"/>
                <v:textbox style="mso-fit-shape-to-text:t;">
                  <w:txbxContent>
                    <w:p w14:paraId="7F15404E">
                      <w:pPr>
                        <w:numPr>
                          <w:ilvl w:val="0"/>
                          <w:numId w:val="2"/>
                        </w:numPr>
                        <w:tabs>
                          <w:tab w:val="left" w:pos="816"/>
                        </w:tabs>
                        <w:ind w:left="420" w:leftChars="0" w:hanging="420" w:firstLineChars="0"/>
                        <w:jc w:val="both"/>
                        <w:rPr>
                          <w:rFonts w:hint="eastAsia" w:ascii="微软雅黑" w:hAnsi="微软雅黑" w:eastAsia="微软雅黑" w:cs="微软雅黑"/>
                          <w:b w:val="0"/>
                          <w:bCs w:val="0"/>
                          <w:i w:val="0"/>
                          <w:iCs w:val="0"/>
                          <w:caps w:val="0"/>
                          <w:color w:val="000000" w:themeColor="text1"/>
                          <w:spacing w:val="0"/>
                          <w:sz w:val="72"/>
                          <w:szCs w:val="7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pPr>
                      <w:r>
                        <w:rPr>
                          <w:rFonts w:hint="eastAsia" w:ascii="华文行楷" w:hAnsi="华文行楷" w:eastAsia="华文行楷" w:cs="华文行楷"/>
                          <w:b w:val="0"/>
                          <w:bCs w:val="0"/>
                          <w:color w:val="000000" w:themeColor="text1"/>
                          <w:sz w:val="72"/>
                          <w:szCs w:val="72"/>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t>国内时事</w:t>
                      </w:r>
                    </w:p>
                  </w:txbxContent>
                </v:textbox>
                <w10:wrap type="square"/>
              </v:shape>
            </w:pict>
          </mc:Fallback>
        </mc:AlternateContent>
      </w:r>
    </w:p>
    <w:p w14:paraId="7C63F9D2">
      <w:pPr>
        <w:numPr>
          <w:ilvl w:val="0"/>
          <w:numId w:val="0"/>
        </w:numPr>
        <w:ind w:firstLine="960" w:firstLineChars="300"/>
        <w:jc w:val="center"/>
        <w:rPr>
          <w:rFonts w:hint="eastAsia" w:ascii="微软雅黑" w:hAnsi="微软雅黑" w:eastAsia="微软雅黑" w:cs="微软雅黑"/>
          <w:b/>
          <w:bCs/>
          <w:i w:val="0"/>
          <w:iCs w:val="0"/>
          <w:caps w:val="0"/>
          <w:color w:val="333333"/>
          <w:spacing w:val="0"/>
          <w:sz w:val="32"/>
          <w:szCs w:val="32"/>
          <w:shd w:val="clear" w:fill="FFFFFF"/>
          <w:lang w:val="en-US" w:eastAsia="zh-CN"/>
        </w:rPr>
      </w:pPr>
    </w:p>
    <w:p w14:paraId="5B23BCAD">
      <w:pPr>
        <w:numPr>
          <w:ilvl w:val="0"/>
          <w:numId w:val="0"/>
        </w:numPr>
        <w:ind w:firstLine="880" w:firstLineChars="200"/>
        <w:jc w:val="both"/>
        <w:rPr>
          <w:rFonts w:hint="eastAsia" w:ascii="微软雅黑" w:hAnsi="微软雅黑" w:eastAsia="微软雅黑" w:cs="微软雅黑"/>
          <w:b w:val="0"/>
          <w:bCs w:val="0"/>
          <w:i w:val="0"/>
          <w:iCs w:val="0"/>
          <w:caps w:val="0"/>
          <w:color w:val="000000" w:themeColor="text1"/>
          <w:spacing w:val="0"/>
          <w:sz w:val="44"/>
          <w:szCs w:val="44"/>
          <w:shd w:val="clear" w:fill="FFFFFF"/>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val="0"/>
          <w:bCs w:val="0"/>
          <w:i w:val="0"/>
          <w:iCs w:val="0"/>
          <w:caps w:val="0"/>
          <w:color w:val="000000" w:themeColor="text1"/>
          <w:spacing w:val="0"/>
          <w:sz w:val="44"/>
          <w:szCs w:val="44"/>
          <w:shd w:val="clear" w:fill="FFFFFF"/>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十四届全国人大二次会议在京开幕</w:t>
      </w:r>
      <w:bookmarkStart w:id="0" w:name="_GoBack"/>
      <w:bookmarkEnd w:id="0"/>
    </w:p>
    <w:p w14:paraId="6E081ED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1687" w:firstLineChars="600"/>
        <w:jc w:val="both"/>
        <w:rPr>
          <w:rStyle w:val="13"/>
          <w:rFonts w:hint="eastAsia" w:ascii="方正仿宋_GB2312" w:hAnsi="方正仿宋_GB2312" w:eastAsia="方正仿宋_GB2312" w:cs="方正仿宋_GB2312"/>
          <w:i w:val="0"/>
          <w:iCs w:val="0"/>
          <w:caps w:val="0"/>
          <w:color w:val="FF0000"/>
          <w:spacing w:val="0"/>
          <w:sz w:val="28"/>
          <w:szCs w:val="28"/>
          <w:shd w:val="clear" w:fill="FFFFFF"/>
          <w:lang w:eastAsia="zh-CN"/>
        </w:rPr>
      </w:pPr>
      <w:r>
        <w:rPr>
          <w:rStyle w:val="13"/>
          <w:rFonts w:hint="eastAsia" w:ascii="方正仿宋_GB2312" w:hAnsi="方正仿宋_GB2312" w:eastAsia="方正仿宋_GB2312" w:cs="方正仿宋_GB2312"/>
          <w:i w:val="0"/>
          <w:iCs w:val="0"/>
          <w:caps w:val="0"/>
          <w:color w:val="FF0000"/>
          <w:spacing w:val="0"/>
          <w:sz w:val="28"/>
          <w:szCs w:val="28"/>
          <w:shd w:val="clear" w:fill="FFFFFF"/>
        </w:rPr>
        <w:t>十四届全国人大二次会议在京开幕</w:t>
      </w:r>
    </w:p>
    <w:p w14:paraId="4845883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13"/>
          <w:rFonts w:hint="eastAsia" w:ascii="方正仿宋_GB2312" w:hAnsi="方正仿宋_GB2312" w:eastAsia="方正仿宋_GB2312" w:cs="方正仿宋_GB2312"/>
          <w:i w:val="0"/>
          <w:iCs w:val="0"/>
          <w:caps w:val="0"/>
          <w:color w:val="FF0000"/>
          <w:spacing w:val="0"/>
          <w:sz w:val="28"/>
          <w:szCs w:val="28"/>
          <w:shd w:val="clear" w:fill="FFFFFF"/>
        </w:rPr>
      </w:pPr>
      <w:r>
        <w:rPr>
          <w:rStyle w:val="13"/>
          <w:rFonts w:hint="eastAsia" w:ascii="方正仿宋_GB2312" w:hAnsi="方正仿宋_GB2312" w:eastAsia="方正仿宋_GB2312" w:cs="方正仿宋_GB2312"/>
          <w:i w:val="0"/>
          <w:iCs w:val="0"/>
          <w:caps w:val="0"/>
          <w:color w:val="FF0000"/>
          <w:spacing w:val="0"/>
          <w:sz w:val="28"/>
          <w:szCs w:val="28"/>
          <w:shd w:val="clear" w:fill="FFFFFF"/>
        </w:rPr>
        <w:t>习近平王沪宁蔡奇丁薛祥李希韩正等在主席台就座</w:t>
      </w:r>
    </w:p>
    <w:p w14:paraId="47A159E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13"/>
          <w:rFonts w:hint="eastAsia" w:ascii="方正仿宋_GB2312" w:hAnsi="方正仿宋_GB2312" w:eastAsia="方正仿宋_GB2312" w:cs="方正仿宋_GB2312"/>
          <w:i w:val="0"/>
          <w:iCs w:val="0"/>
          <w:caps w:val="0"/>
          <w:color w:val="FF0000"/>
          <w:spacing w:val="0"/>
          <w:sz w:val="36"/>
          <w:szCs w:val="36"/>
          <w:shd w:val="clear" w:fill="FFFFFF"/>
          <w:lang w:eastAsia="zh-CN"/>
        </w:rPr>
      </w:pPr>
      <w:r>
        <w:rPr>
          <w:rStyle w:val="13"/>
          <w:rFonts w:hint="eastAsia" w:ascii="方正仿宋_GB2312" w:hAnsi="方正仿宋_GB2312" w:eastAsia="方正仿宋_GB2312" w:cs="方正仿宋_GB2312"/>
          <w:i w:val="0"/>
          <w:iCs w:val="0"/>
          <w:caps w:val="0"/>
          <w:color w:val="FF0000"/>
          <w:spacing w:val="0"/>
          <w:sz w:val="36"/>
          <w:szCs w:val="36"/>
          <w:shd w:val="clear" w:fill="FFFFFF"/>
          <w:lang w:eastAsia="zh-CN"/>
        </w:rPr>
        <w:drawing>
          <wp:inline distT="0" distB="0" distL="114300" distR="114300">
            <wp:extent cx="5025390" cy="2613660"/>
            <wp:effectExtent l="9525" t="9525" r="13335" b="24765"/>
            <wp:docPr id="21" name="图片 21" descr="W020240403311408474601"/>
            <wp:cNvGraphicFramePr/>
            <a:graphic xmlns:a="http://schemas.openxmlformats.org/drawingml/2006/main">
              <a:graphicData uri="http://schemas.openxmlformats.org/drawingml/2006/picture">
                <pic:pic xmlns:pic="http://schemas.openxmlformats.org/drawingml/2006/picture">
                  <pic:nvPicPr>
                    <pic:cNvPr id="21" name="图片 21" descr="W020240403311408474601"/>
                    <pic:cNvPicPr/>
                  </pic:nvPicPr>
                  <pic:blipFill>
                    <a:blip r:embed="rId11">
                      <a:lum contrast="-18000"/>
                    </a:blip>
                    <a:stretch>
                      <a:fillRect/>
                    </a:stretch>
                  </pic:blipFill>
                  <pic:spPr>
                    <a:xfrm>
                      <a:off x="0" y="0"/>
                      <a:ext cx="5025390" cy="2613660"/>
                    </a:xfrm>
                    <a:prstGeom prst="rect">
                      <a:avLst/>
                    </a:prstGeom>
                    <a:ln>
                      <a:solidFill>
                        <a:schemeClr val="tx1">
                          <a:lumMod val="50000"/>
                          <a:lumOff val="50000"/>
                        </a:schemeClr>
                      </a:solidFill>
                    </a:ln>
                  </pic:spPr>
                </pic:pic>
              </a:graphicData>
            </a:graphic>
          </wp:inline>
        </w:drawing>
      </w:r>
    </w:p>
    <w:p w14:paraId="6B63A55D">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2024年3月5日至11日，举世瞩目的第十四届全国人大二次会议在北京胜利举行。近3000名全国人大代表肩负党和人民重托，以饱满的政治热情和昂扬的精神状态，认真履行宪法和法律赋予的神圣职责，共商发展大计，共谋发展之策。</w:t>
      </w:r>
    </w:p>
    <w:p w14:paraId="2B50BA76">
      <w:pPr>
        <w:bidi w:val="0"/>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大家的共同努力下，大会批准政府工作报告、全国人大常委会工作报告等，通过新修订的国务院组织法，圆满完成了各项议程。会议所取得的成果，充分体现了党的主张和人民意志的统一，彰显了全过程人民民主和国家根本政治制度的显著优势。</w:t>
      </w:r>
    </w:p>
    <w:p w14:paraId="0F7AFAF7">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团结凝聚力量，奋斗铸就伟业。新时代新征程上，在以习近平同志为核心的党中央坚强领导下，在习近平新时代中国特色社会主义思想科学指引下，全党全军全国各族人民坚定不移走中国特色社会主义政治发展道路，扎实推进全过程人民民主，保障人民当家作主，必将广泛凝聚起坚定信心、团结拼搏、奋勇前进的磅礴力量，共同谱写中国式现代化的壮美华章。</w:t>
      </w:r>
    </w:p>
    <w:p w14:paraId="4D0510A9">
      <w:pPr>
        <w:bidi w:val="0"/>
        <w:ind w:firstLine="2700" w:firstLineChars="900"/>
        <w:rPr>
          <w:rFonts w:hint="eastAsia" w:ascii="仿宋" w:hAnsi="仿宋" w:eastAsia="仿宋" w:cs="仿宋"/>
          <w:b/>
          <w:bCs/>
          <w:i w:val="0"/>
          <w:iCs w:val="0"/>
          <w:caps w:val="0"/>
          <w:color w:val="333333"/>
          <w:spacing w:val="0"/>
          <w:sz w:val="30"/>
          <w:szCs w:val="30"/>
          <w:shd w:val="clear" w:fill="FFFFFF"/>
        </w:rPr>
      </w:pPr>
      <w:r>
        <w:rPr>
          <w:rFonts w:hint="eastAsia" w:ascii="仿宋" w:hAnsi="仿宋" w:eastAsia="仿宋" w:cs="仿宋"/>
          <w:i w:val="0"/>
          <w:iCs w:val="0"/>
          <w:caps w:val="0"/>
          <w:color w:val="000000"/>
          <w:spacing w:val="0"/>
          <w:sz w:val="30"/>
          <w:szCs w:val="30"/>
          <w:shd w:val="clear" w:fill="FFFFFF"/>
          <w:lang w:val="en-US" w:eastAsia="zh-CN"/>
        </w:rPr>
        <w:t>来源；</w:t>
      </w:r>
      <w:r>
        <w:rPr>
          <w:rFonts w:hint="eastAsia" w:ascii="仿宋" w:hAnsi="仿宋" w:eastAsia="仿宋" w:cs="仿宋"/>
          <w:i w:val="0"/>
          <w:iCs w:val="0"/>
          <w:caps w:val="0"/>
          <w:color w:val="000000"/>
          <w:spacing w:val="0"/>
          <w:sz w:val="30"/>
          <w:szCs w:val="30"/>
          <w:shd w:val="clear" w:fill="FFFFFF"/>
        </w:rPr>
        <w:t>《中国人大》杂志2024年第6期</w:t>
      </w:r>
    </w:p>
    <w:p w14:paraId="571D3A70">
      <w:pPr>
        <w:bidi w:val="0"/>
        <w:ind w:firstLine="640"/>
        <w:rPr>
          <w:rFonts w:hint="eastAsia"/>
          <w:sz w:val="32"/>
          <w:szCs w:val="32"/>
          <w:lang w:val="en-US" w:eastAsia="zh-CN"/>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p w14:paraId="5D7210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right="0" w:firstLine="880" w:firstLineChars="200"/>
        <w:rPr>
          <w:rFonts w:hint="eastAsia" w:ascii="微软雅黑" w:hAnsi="微软雅黑" w:eastAsia="微软雅黑" w:cs="微软雅黑"/>
          <w:b w:val="0"/>
          <w:bCs w:val="0"/>
          <w:i w:val="0"/>
          <w:iCs w:val="0"/>
          <w:caps w:val="0"/>
          <w:color w:val="000000" w:themeColor="text1"/>
          <w:spacing w:val="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val="0"/>
          <w:bCs w:val="0"/>
          <w:i w:val="0"/>
          <w:iCs w:val="0"/>
          <w:caps w:val="0"/>
          <w:color w:val="000000" w:themeColor="text1"/>
          <w:spacing w:val="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中国式现代化要靠科技现代化作支撑</w:t>
      </w:r>
    </w:p>
    <w:p w14:paraId="5F3B9448">
      <w:pPr>
        <w:ind w:firstLine="640" w:firstLineChars="200"/>
        <w:rPr>
          <w:rFonts w:hint="eastAsia" w:ascii="仿宋" w:hAnsi="仿宋" w:eastAsia="仿宋" w:cs="仿宋"/>
          <w:sz w:val="32"/>
          <w:szCs w:val="32"/>
        </w:rPr>
      </w:pPr>
      <w:r>
        <w:rPr>
          <w:rFonts w:hint="eastAsia" w:ascii="仿宋" w:hAnsi="仿宋" w:eastAsia="仿宋" w:cs="仿宋"/>
          <w:sz w:val="32"/>
          <w:szCs w:val="32"/>
        </w:rPr>
        <w:t>党的二十届三中全会明确了进一步全面深化改革的总目标，审议通过了《中共中央关于进一步全面深化改革 推进中国式现代化的决定》（以下简称《决定》），提出统筹推进教育科技人才体制机制一体改革，要求深化科技体制改革，改进科技计划管理、深化科技成果转化机制改革等。</w:t>
      </w:r>
    </w:p>
    <w:p w14:paraId="63083C57">
      <w:pPr>
        <w:ind w:firstLine="640" w:firstLineChars="200"/>
        <w:rPr>
          <w:rFonts w:hint="eastAsia" w:ascii="仿宋" w:hAnsi="仿宋" w:eastAsia="仿宋" w:cs="仿宋"/>
          <w:sz w:val="32"/>
          <w:szCs w:val="32"/>
        </w:rPr>
      </w:pPr>
      <w:r>
        <w:rPr>
          <w:rFonts w:hint="eastAsia" w:ascii="仿宋" w:hAnsi="仿宋" w:eastAsia="仿宋" w:cs="仿宋"/>
          <w:sz w:val="32"/>
          <w:szCs w:val="32"/>
        </w:rPr>
        <w:t>怎样构建支持全面创新的体制机制，深化科技体制机制改革又将啃下哪些“硬骨头”，如何通过改革促进科技创新与产业创新深度融合？针对社会关注的热点问题，科技日报记者近日采访了科技部党组书记、部长阴和俊。</w:t>
      </w:r>
    </w:p>
    <w:p w14:paraId="6D3F1B33">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中国式现代化关键在科技现代化</w:t>
      </w:r>
    </w:p>
    <w:p w14:paraId="06949C36">
      <w:pPr>
        <w:rPr>
          <w:rFonts w:hint="eastAsia" w:ascii="仿宋" w:hAnsi="仿宋" w:eastAsia="仿宋" w:cs="仿宋"/>
          <w:sz w:val="32"/>
          <w:szCs w:val="32"/>
        </w:rPr>
      </w:pPr>
      <w:r>
        <w:rPr>
          <w:rFonts w:hint="eastAsia" w:ascii="仿宋" w:hAnsi="仿宋" w:eastAsia="仿宋" w:cs="仿宋"/>
          <w:b/>
          <w:bCs/>
          <w:color w:val="auto"/>
          <w:sz w:val="32"/>
          <w:szCs w:val="32"/>
        </w:rPr>
        <w:t>记者：</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全会对进一步全面深化改革作出系统部署，提出构建支持全面创新体制机制，把深化科技体制改革摆在重要位置。我们该如何理解、把握这些新要求？</w:t>
      </w:r>
    </w:p>
    <w:p w14:paraId="39916BF5">
      <w:pPr>
        <w:rPr>
          <w:rFonts w:hint="eastAsia" w:ascii="仿宋" w:hAnsi="仿宋" w:eastAsia="仿宋" w:cs="仿宋"/>
          <w:sz w:val="32"/>
          <w:szCs w:val="32"/>
        </w:rPr>
      </w:pPr>
      <w:r>
        <w:rPr>
          <w:rFonts w:hint="eastAsia" w:ascii="仿宋" w:hAnsi="仿宋" w:eastAsia="仿宋" w:cs="仿宋"/>
          <w:b/>
          <w:bCs/>
          <w:color w:val="auto"/>
          <w:sz w:val="32"/>
          <w:szCs w:val="32"/>
        </w:rPr>
        <w:t>阴和俊</w:t>
      </w:r>
      <w:r>
        <w:rPr>
          <w:rFonts w:hint="eastAsia" w:ascii="仿宋" w:hAnsi="仿宋" w:eastAsia="仿宋" w:cs="仿宋"/>
          <w:color w:val="1E386B" w:themeColor="accent1" w:themeShade="80"/>
          <w:sz w:val="32"/>
          <w:szCs w:val="32"/>
        </w:rPr>
        <w:t>：</w:t>
      </w:r>
      <w:r>
        <w:rPr>
          <w:rFonts w:hint="eastAsia" w:ascii="仿宋" w:hAnsi="仿宋" w:eastAsia="仿宋" w:cs="仿宋"/>
          <w:sz w:val="32"/>
          <w:szCs w:val="32"/>
        </w:rPr>
        <w:t>中国的成功实践告诉我们，改革是决定中国前途命运的关键一招。党的十八大以来，习近平总书记以巨大的勇气和智慧，亲自谋划、亲自部署、亲自推动一系列重大改革，开创了全面深化改革的新局面，改革涉及面之广、触点之深、力度之大，可谓前所未有。此次全会，面对纷繁复杂的国际国内形势，面对新一轮科技革命和产业变革，面对人民群众新期待，党中央作出进一步全面深化改革的决定，体现了党中央坚定不移深化改革的历史主动和坚定信心，必将开创中国式现代化建设新局面。</w:t>
      </w:r>
    </w:p>
    <w:p w14:paraId="57782C93">
      <w:pPr>
        <w:ind w:firstLine="640" w:firstLineChars="200"/>
        <w:rPr>
          <w:rFonts w:hint="eastAsia" w:ascii="仿宋" w:hAnsi="仿宋" w:eastAsia="仿宋" w:cs="仿宋"/>
          <w:sz w:val="32"/>
          <w:szCs w:val="32"/>
        </w:rPr>
      </w:pPr>
      <w:r>
        <w:rPr>
          <w:rFonts w:hint="eastAsia" w:ascii="仿宋" w:hAnsi="仿宋" w:eastAsia="仿宋" w:cs="仿宋"/>
          <w:sz w:val="32"/>
          <w:szCs w:val="32"/>
        </w:rPr>
        <w:t>习近平总书记指出，中国式现代化关键在科技现代化。我们能不能如期全面建成社会主义现代化强国，关键看科技自立自强。以习近平同志为核心的党中央坚持把科技创新摆在国家发展全局的核心位置，深入实施科教兴国战略、人才强国战略、创新驱动发展战略。党的二十大作出到2035年建成科技强国的战略部署，习近平总书记在今年全国科技大会上围绕为什么、是什么、如何建科技强国作了深刻系统的阐述，向全党全社会吹响了建设科技强国的集结号、冲锋号。我们要认真领会习近平总书记的战略意图，清醒认识到中国式现代化必须要靠科技现代化作支撑，必须充分发挥科技的基础性、战略性支撑作用。</w:t>
      </w:r>
    </w:p>
    <w:p w14:paraId="3860E5E6">
      <w:pPr>
        <w:ind w:firstLine="640" w:firstLineChars="200"/>
        <w:rPr>
          <w:rFonts w:hint="eastAsia" w:ascii="仿宋" w:hAnsi="仿宋" w:eastAsia="仿宋" w:cs="仿宋"/>
          <w:sz w:val="32"/>
          <w:szCs w:val="32"/>
        </w:rPr>
      </w:pPr>
      <w:r>
        <w:rPr>
          <w:rFonts w:hint="eastAsia" w:ascii="仿宋" w:hAnsi="仿宋" w:eastAsia="仿宋" w:cs="仿宋"/>
          <w:sz w:val="32"/>
          <w:szCs w:val="32"/>
        </w:rPr>
        <w:t>这次全会将“教育科技人才一体推进”进行专章部署，体现了党中央对科技创新的高度重视和殷切期盼，表明了推动科技创新在体制机制上还存在不少制度性短板和弱项，也显示出科技创新引领发展还有巨大潜力。科技体制改革是构建支持全面创新体制机制的重要内容，是激发全社会创新创造活力的关键举措。</w:t>
      </w:r>
    </w:p>
    <w:p w14:paraId="297FD76D">
      <w:pPr>
        <w:ind w:firstLine="640" w:firstLineChars="200"/>
        <w:rPr>
          <w:rFonts w:hint="eastAsia" w:ascii="仿宋" w:hAnsi="仿宋" w:eastAsia="仿宋" w:cs="仿宋"/>
          <w:sz w:val="32"/>
          <w:szCs w:val="32"/>
        </w:rPr>
      </w:pPr>
      <w:r>
        <w:rPr>
          <w:rFonts w:hint="eastAsia" w:ascii="仿宋" w:hAnsi="仿宋" w:eastAsia="仿宋" w:cs="仿宋"/>
          <w:sz w:val="32"/>
          <w:szCs w:val="32"/>
        </w:rPr>
        <w:t>迎接新一轮科技革命和产业变革、加快建设科技强国，要求我们必须加快完善科技创新组织方式和治理模式。发展新质生产力、实现高质量发展，要求我们必须加强科技创新和产业创新融合发展。提升国家竞争力、应对外部风险挑战，要求我们必须坚持科技创新和制度创新双轮驱动，加快实现高水平科技自立自强。</w:t>
      </w:r>
    </w:p>
    <w:p w14:paraId="07C5D93C">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科技体制改革是全面深化改革的重要内容</w:t>
      </w:r>
    </w:p>
    <w:p w14:paraId="6E3C06B9">
      <w:pPr>
        <w:rPr>
          <w:rFonts w:hint="eastAsia" w:ascii="仿宋" w:hAnsi="仿宋" w:eastAsia="仿宋" w:cs="仿宋"/>
          <w:sz w:val="32"/>
          <w:szCs w:val="32"/>
        </w:rPr>
      </w:pPr>
      <w:r>
        <w:rPr>
          <w:rFonts w:hint="eastAsia" w:ascii="仿宋" w:hAnsi="仿宋" w:eastAsia="仿宋" w:cs="仿宋"/>
          <w:b/>
          <w:bCs/>
          <w:color w:val="auto"/>
          <w:sz w:val="32"/>
          <w:szCs w:val="32"/>
        </w:rPr>
        <w:t>记者：</w:t>
      </w:r>
      <w:r>
        <w:rPr>
          <w:rFonts w:hint="eastAsia" w:ascii="仿宋" w:hAnsi="仿宋" w:eastAsia="仿宋" w:cs="仿宋"/>
          <w:sz w:val="32"/>
          <w:szCs w:val="32"/>
        </w:rPr>
        <w:t>近年来，我国科技体制改革不断取得进展，全会又将其作为重点内容进行部署。那么，当前我国科技体制改革还存在什么突出问题，下一步体制机制改革的重点是什么？</w:t>
      </w:r>
    </w:p>
    <w:p w14:paraId="41A8A245">
      <w:pPr>
        <w:rPr>
          <w:rFonts w:hint="eastAsia" w:ascii="仿宋" w:hAnsi="仿宋" w:eastAsia="仿宋" w:cs="仿宋"/>
          <w:sz w:val="32"/>
          <w:szCs w:val="32"/>
        </w:rPr>
      </w:pPr>
      <w:r>
        <w:rPr>
          <w:rFonts w:hint="eastAsia" w:ascii="仿宋" w:hAnsi="仿宋" w:eastAsia="仿宋" w:cs="仿宋"/>
          <w:b/>
          <w:bCs/>
          <w:color w:val="auto"/>
          <w:sz w:val="32"/>
          <w:szCs w:val="32"/>
        </w:rPr>
        <w:t>阴和俊：</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科技体制改革是全面深化改革的重要内容。党的十八届三中全会以来，我国出台了一系列举措，比如加强研发投入、加快青年人才培养、加大初创企业扶持等，进一步激发了科研人员创新创业活力。面对新形势新要求，党中央进一步加强对科技工作的集中统一领导，成立中央科技委员会，重组科学技术部，这是对国家科技领导和管理体制的一次系统性重塑、整体性重构。中央科技委员会成立一年多以来，加强政策、计划、资源等统筹，着力完善新型举国体制，加快启动实施国家科技重大项目，打破方方面面的利益藩篱，啃下了一块块硬骨头，国家科技治理效能大幅提升，决策效率大大提高，我国科技事业呈现出一片新气象。全球创新指数排名从2012年的第34位上升到2023年的第12位，研发经费跃居全球第二，研发人员、高水平论文、发明专利多年位居世界前列，取得了载人航天、探月工程、北斗导航、高铁、移动通信、新能源汽车、深海深地探测等一大批标志性重大成果。</w:t>
      </w:r>
    </w:p>
    <w:p w14:paraId="31DF14AA">
      <w:pPr>
        <w:ind w:firstLine="640" w:firstLineChars="200"/>
        <w:rPr>
          <w:rFonts w:hint="eastAsia" w:ascii="仿宋" w:hAnsi="仿宋" w:eastAsia="仿宋" w:cs="仿宋"/>
          <w:sz w:val="32"/>
          <w:szCs w:val="32"/>
        </w:rPr>
      </w:pPr>
      <w:r>
        <w:rPr>
          <w:rFonts w:hint="eastAsia" w:ascii="仿宋" w:hAnsi="仿宋" w:eastAsia="仿宋" w:cs="仿宋"/>
          <w:sz w:val="32"/>
          <w:szCs w:val="32"/>
        </w:rPr>
        <w:t>在我国科技事业取得长足进步的同时，我们也要清醒地看到，与世界科技强国相比，与建设科技强国的目标要求相比，我们的科技实力还不够强大，科技体制机制还不够健全，国家创新体系整体效能还不够高。《决定》突出问题导向、目标导向，作出全面系统的部署，为进一步深化科技体制改革指明方向。针对人才培养与科技创新供需不匹配、顶尖科技人才不足的问题，强调统筹推进教育科技人才体制机制一体改革；针对原始创新能力相对薄弱、一些关键核心技术受制于人的问题，强调要加强有组织的基础研究，鼓励开展高风险高价值基础研究；针对科技创新组织化协同化程度不高、资源分散重复的问题，强调要改进科技计划管理，坚持“四个面向”，优化重大科技创新组织机制；针对高质量科技供给不足的问题，强调要改革科技成果转化机制，强化企业科技创新主体地位，推动科技创新与产业创新融合发展等。</w:t>
      </w:r>
    </w:p>
    <w:p w14:paraId="3D47A1CF">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推动科技改革发展实现新的更大突破</w:t>
      </w:r>
    </w:p>
    <w:p w14:paraId="03ABCAB3">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记者：</w:t>
      </w:r>
      <w:r>
        <w:rPr>
          <w:rFonts w:hint="eastAsia" w:ascii="仿宋" w:hAnsi="仿宋" w:eastAsia="仿宋" w:cs="仿宋"/>
          <w:sz w:val="32"/>
          <w:szCs w:val="32"/>
        </w:rPr>
        <w:t>结合此次全会精神，在科技创新领域，我们有哪些落实思路和考虑？将会出台哪些重点举措？</w:t>
      </w:r>
    </w:p>
    <w:p w14:paraId="44FF58D1">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阴和俊：</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一分部署，九分落实。科技部将进一步提高政治站位，强化责任和使命担当，坚决把思想和行动统一到党中央决策部署上来。锚定2035年建成科技强国的奋斗目标，以高水平科技自立自强为主线，落实“四抓”要求，强化战略规划、政策措施、科研力量、重大任务、资源平台、区域创新等六方面统筹，推动科技改革发展实现新的更大突破。</w:t>
      </w:r>
    </w:p>
    <w:p w14:paraId="10C80182">
      <w:pPr>
        <w:ind w:firstLine="640" w:firstLineChars="200"/>
        <w:rPr>
          <w:rFonts w:hint="eastAsia" w:ascii="仿宋" w:hAnsi="仿宋" w:eastAsia="仿宋" w:cs="仿宋"/>
          <w:sz w:val="32"/>
          <w:szCs w:val="32"/>
        </w:rPr>
      </w:pPr>
      <w:r>
        <w:rPr>
          <w:rFonts w:hint="eastAsia" w:ascii="仿宋" w:hAnsi="仿宋" w:eastAsia="仿宋" w:cs="仿宋"/>
          <w:sz w:val="32"/>
          <w:szCs w:val="32"/>
        </w:rPr>
        <w:t>一是健全新型举国体制。加强国家战略科技力量建设，优化定位和布局；推进科技创新央地协同，统筹各类科创平台建设；推动科技创新力量、要素配置、人才队伍体系化、建制化、协同化。</w:t>
      </w:r>
    </w:p>
    <w:p w14:paraId="5D593C81">
      <w:pPr>
        <w:ind w:firstLine="640" w:firstLineChars="200"/>
        <w:rPr>
          <w:rFonts w:hint="eastAsia" w:ascii="仿宋" w:hAnsi="仿宋" w:eastAsia="仿宋" w:cs="仿宋"/>
          <w:sz w:val="32"/>
          <w:szCs w:val="32"/>
        </w:rPr>
      </w:pPr>
      <w:r>
        <w:rPr>
          <w:rFonts w:hint="eastAsia" w:ascii="仿宋" w:hAnsi="仿宋" w:eastAsia="仿宋" w:cs="仿宋"/>
          <w:sz w:val="32"/>
          <w:szCs w:val="32"/>
        </w:rPr>
        <w:t>二是推动科技创新和产业创新深度融合。抓住支撑产业链、企业主体地位、科技成果转化、科技金融等重点环节，构建与新质生产力相适应的制度政策体系。</w:t>
      </w:r>
    </w:p>
    <w:p w14:paraId="0BD944F6">
      <w:pPr>
        <w:ind w:firstLine="640" w:firstLineChars="200"/>
        <w:rPr>
          <w:rFonts w:hint="eastAsia" w:ascii="仿宋" w:hAnsi="仿宋" w:eastAsia="仿宋" w:cs="仿宋"/>
          <w:sz w:val="32"/>
          <w:szCs w:val="32"/>
        </w:rPr>
      </w:pPr>
      <w:r>
        <w:rPr>
          <w:rFonts w:hint="eastAsia" w:ascii="仿宋" w:hAnsi="仿宋" w:eastAsia="仿宋" w:cs="仿宋"/>
          <w:sz w:val="32"/>
          <w:szCs w:val="32"/>
        </w:rPr>
        <w:t>三是统筹推进教育科技人才体制机制一体改革。建立科技发展、国家战略需求牵引的学科设置调整机制和人才培养模式；实施更加积极、更加开放、更加有效的人才政策；健全保障科研人员专心科研的制度，坚持向用人主体授权、为人才松绑减负。</w:t>
      </w:r>
    </w:p>
    <w:p w14:paraId="6F28B5C3">
      <w:pPr>
        <w:ind w:firstLine="640" w:firstLineChars="200"/>
        <w:rPr>
          <w:rFonts w:hint="eastAsia" w:ascii="仿宋" w:hAnsi="仿宋" w:eastAsia="仿宋" w:cs="仿宋"/>
          <w:sz w:val="32"/>
          <w:szCs w:val="32"/>
        </w:rPr>
      </w:pPr>
      <w:r>
        <w:rPr>
          <w:rFonts w:hint="eastAsia" w:ascii="仿宋" w:hAnsi="仿宋" w:eastAsia="仿宋" w:cs="仿宋"/>
          <w:sz w:val="32"/>
          <w:szCs w:val="32"/>
        </w:rPr>
        <w:t>四是深化科技开放合作。践行国际科技合作倡议，拓宽政府和民间交流合作渠道，聚焦应对全球挑战开展联合研究，积极参与和主导国际科技规则制定，建设具有全球竞争力的科技创新开放环境。</w:t>
      </w:r>
    </w:p>
    <w:p w14:paraId="0FDE4D9B">
      <w:pPr>
        <w:ind w:firstLine="640" w:firstLineChars="200"/>
        <w:rPr>
          <w:rFonts w:hint="eastAsia" w:ascii="仿宋" w:hAnsi="仿宋" w:eastAsia="仿宋" w:cs="仿宋"/>
          <w:sz w:val="32"/>
          <w:szCs w:val="32"/>
        </w:rPr>
      </w:pPr>
      <w:r>
        <w:rPr>
          <w:rFonts w:hint="eastAsia" w:ascii="仿宋" w:hAnsi="仿宋" w:eastAsia="仿宋" w:cs="仿宋"/>
          <w:sz w:val="32"/>
          <w:szCs w:val="32"/>
        </w:rPr>
        <w:t>惟改革者进，惟创新者强，惟改革创新者胜。科技部将认真贯彻落实全会部署要求，以改革促创新、以创新促发展，以钉钉子精神深入推进科技体制改革，有什么问题碰什么问题，有什么堵点疏什么堵点，加快构建高效顺畅、开放协同、富有活力的国家创新体系，加快建设科技强国，为中国式现代化提供更加有力的科技支撑。</w:t>
      </w:r>
    </w:p>
    <w:p w14:paraId="20CF9D4C">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力促科技创新和产业创新融合发展</w:t>
      </w:r>
    </w:p>
    <w:p w14:paraId="05400D60">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记者：</w:t>
      </w:r>
      <w:r>
        <w:rPr>
          <w:rFonts w:hint="eastAsia" w:ascii="仿宋" w:hAnsi="仿宋" w:eastAsia="仿宋" w:cs="仿宋"/>
          <w:sz w:val="32"/>
          <w:szCs w:val="32"/>
        </w:rPr>
        <w:t>此次全会对产学研深度融合、科技成果转化、创新生态等方面体制机制改革作出部署。在您看来，如何通过改革实现科技创新与产业创新的深度融合？下一步科技部有哪些考虑？</w:t>
      </w:r>
    </w:p>
    <w:p w14:paraId="1A369309">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阴和俊</w:t>
      </w:r>
      <w:r>
        <w:rPr>
          <w:rFonts w:hint="eastAsia" w:ascii="仿宋" w:hAnsi="仿宋" w:eastAsia="仿宋" w:cs="仿宋"/>
          <w:color w:val="1E386B" w:themeColor="accent1" w:themeShade="80"/>
          <w:sz w:val="32"/>
          <w:szCs w:val="32"/>
        </w:rPr>
        <w:t>：</w:t>
      </w:r>
      <w:r>
        <w:rPr>
          <w:rFonts w:hint="eastAsia" w:ascii="仿宋" w:hAnsi="仿宋" w:eastAsia="仿宋" w:cs="仿宋"/>
          <w:sz w:val="32"/>
          <w:szCs w:val="32"/>
        </w:rPr>
        <w:t>推动高质量发展、培育壮大新质生产力，必须扎实推动科技创新和产业创新融合发展。习近平总书记在全国科技大会上的重要讲话深刻阐明了科技创新和产业创新融合的基础、融合的关键、融合的途径，为我们做好这项工作指明了前进方向。科技部将重点做好三方面工作。</w:t>
      </w:r>
    </w:p>
    <w:p w14:paraId="3945980E">
      <w:pPr>
        <w:ind w:firstLine="640" w:firstLineChars="200"/>
        <w:rPr>
          <w:rFonts w:hint="eastAsia" w:ascii="仿宋" w:hAnsi="仿宋" w:eastAsia="仿宋" w:cs="仿宋"/>
          <w:sz w:val="32"/>
          <w:szCs w:val="32"/>
        </w:rPr>
      </w:pPr>
      <w:r>
        <w:rPr>
          <w:rFonts w:hint="eastAsia" w:ascii="仿宋" w:hAnsi="仿宋" w:eastAsia="仿宋" w:cs="仿宋"/>
          <w:sz w:val="32"/>
          <w:szCs w:val="32"/>
        </w:rPr>
        <w:t>一是从制度上落实企业科技创新主体地位。企业是创新的主体，是创新创造的生力军。建设科技强国必须有一大批创新型企业引领产业发展。我们要建立培育壮大科技领军企业机制，大力培养龙头型和高速成长型科技领军企业，探索建立企业项目上升为国家项目的新机制，支持企业与高校、科研院所共同组建创新联合体，促进产业链上下游融通创新。同时，要支持鼓励科技型中小企业加大研发投入，提高研发费用加计扣除比例。坚持“两个毫不动摇”，对民营企业和国有企业一视同仁，谁有能力干就让谁干，支持有能力的企业牵头承担国家重大技术攻关任务，充分发挥企业“出题人”“答题人”“阅卷人”作用。</w:t>
      </w:r>
    </w:p>
    <w:p w14:paraId="4357B471">
      <w:pPr>
        <w:ind w:firstLine="640" w:firstLineChars="200"/>
        <w:rPr>
          <w:rFonts w:hint="eastAsia" w:ascii="仿宋" w:hAnsi="仿宋" w:eastAsia="仿宋" w:cs="仿宋"/>
          <w:sz w:val="32"/>
          <w:szCs w:val="32"/>
        </w:rPr>
      </w:pPr>
      <w:r>
        <w:rPr>
          <w:rFonts w:hint="eastAsia" w:ascii="仿宋" w:hAnsi="仿宋" w:eastAsia="仿宋" w:cs="仿宋"/>
          <w:sz w:val="32"/>
          <w:szCs w:val="32"/>
        </w:rPr>
        <w:t>二是深化科技成果转化体制机制改革。推动科技成果转化应用，一直是科技改革的重点难点，科技部在这方面持续用力，探索实践了一些有效做法。后续，我们将进一步健全国家技术转移体系，研究制定新时期推动我国科技成果转化的政策文件。深化职务科技成果赋权改革，通过产权激励进一步调动激发科研人员成果转化的积极性。依托我国产业基础优势和超大规模市场优势，协调推动重大科研成果示范应用，做优做强国家科技成果转移转化示范区，为高质量发展提供更多高水平科技供给。</w:t>
      </w:r>
    </w:p>
    <w:p w14:paraId="67F22244">
      <w:pPr>
        <w:ind w:firstLine="640" w:firstLineChars="200"/>
        <w:rPr>
          <w:rFonts w:hint="eastAsia" w:ascii="仿宋" w:hAnsi="仿宋" w:eastAsia="仿宋" w:cs="仿宋"/>
          <w:sz w:val="32"/>
          <w:szCs w:val="32"/>
        </w:rPr>
      </w:pPr>
      <w:r>
        <w:rPr>
          <w:rFonts w:hint="eastAsia" w:ascii="仿宋" w:hAnsi="仿宋" w:eastAsia="仿宋" w:cs="仿宋"/>
          <w:sz w:val="32"/>
          <w:szCs w:val="32"/>
        </w:rPr>
        <w:t>三是优化科技创新生态。在国家财力有限的情况下，实施国家科技重大项目、建设国家战略科技力量、提高创新能力必须建立多元化投入机制。要构建同科技创新相适应的科技金融体制，加快形成以科技创业投资为重点的科技金融服务体系，引导资本投早、投小、投长期、投硬科技，引导金融活水进入创新沃土。健全国家创新政策体系，加快形成与新质生产力更相适应的科技创新生态环境。</w:t>
      </w:r>
    </w:p>
    <w:p w14:paraId="65A293D4">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持续纵深推进科技计划管理改革</w:t>
      </w:r>
    </w:p>
    <w:p w14:paraId="6E6E69BE">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记者：</w:t>
      </w:r>
      <w:r>
        <w:rPr>
          <w:rFonts w:hint="eastAsia" w:ascii="仿宋" w:hAnsi="仿宋" w:eastAsia="仿宋" w:cs="仿宋"/>
          <w:sz w:val="32"/>
          <w:szCs w:val="32"/>
        </w:rPr>
        <w:t>全会明确提出“改进科技计划管理”，科技部将如何贯彻落实这一部署要求，推动取得更多研发成果，为高质量发展提供高质量科技供给？</w:t>
      </w:r>
    </w:p>
    <w:p w14:paraId="5884CF1E">
      <w:pPr>
        <w:rPr>
          <w:rFonts w:hint="eastAsia" w:ascii="仿宋" w:hAnsi="仿宋" w:eastAsia="仿宋" w:cs="仿宋"/>
          <w:sz w:val="32"/>
          <w:szCs w:val="32"/>
        </w:rPr>
      </w:pPr>
      <w:r>
        <w:rPr>
          <w:rFonts w:hint="eastAsia" w:ascii="仿宋" w:hAnsi="仿宋" w:eastAsia="仿宋" w:cs="仿宋"/>
          <w:b/>
          <w:bCs/>
          <w:color w:val="000000" w:themeColor="text1"/>
          <w:sz w:val="32"/>
          <w:szCs w:val="32"/>
          <w14:textFill>
            <w14:solidFill>
              <w14:schemeClr w14:val="tx1"/>
            </w14:solidFill>
          </w14:textFill>
        </w:rPr>
        <w:t>阴和俊：</w:t>
      </w:r>
      <w:r>
        <w:rPr>
          <w:rFonts w:hint="eastAsia" w:ascii="仿宋" w:hAnsi="仿宋" w:eastAsia="仿宋" w:cs="仿宋"/>
          <w:sz w:val="32"/>
          <w:szCs w:val="32"/>
        </w:rPr>
        <w:t>国家科技计划是政府组织科技创新活动的重要载体，也是科技体制机制改革的重要着力点，科技界一直高度关注。前期，针对科技资源重复、分散等问题，科技部持续推动国家科技计划管理改革，取得积极成效。下一步，科技部将认真落实党的二十届三中全会部署要求，将科技计划管理改革持续向纵深推进，重点将做好三方面工作。</w:t>
      </w:r>
    </w:p>
    <w:p w14:paraId="0957BE9D">
      <w:pPr>
        <w:ind w:firstLine="640" w:firstLineChars="200"/>
        <w:rPr>
          <w:rFonts w:hint="eastAsia" w:ascii="仿宋" w:hAnsi="仿宋" w:eastAsia="仿宋" w:cs="仿宋"/>
          <w:sz w:val="32"/>
          <w:szCs w:val="32"/>
        </w:rPr>
      </w:pPr>
      <w:r>
        <w:rPr>
          <w:rFonts w:hint="eastAsia" w:ascii="仿宋" w:hAnsi="仿宋" w:eastAsia="仿宋" w:cs="仿宋"/>
          <w:sz w:val="32"/>
          <w:szCs w:val="32"/>
        </w:rPr>
        <w:t>一是加强科技资源的统筹布局。2023年以来，按照中央科技委员会部署，科技部会同财政部等相关部门按照“以需求定任务、以任务定经费”的原则，建立了中央财政科技经费统筹安排使用机制，部署启动一批国家科技重大专项，创新资源统筹和布局得到显著加强。后续，我们将以编制“十五五”科技创新规划为契机，加强科技创新全链条部署、全领域布局，加强有组织的基础研究，统筹强化关键核心技术攻关，筑牢科技创新的根基和底座。</w:t>
      </w:r>
    </w:p>
    <w:p w14:paraId="76666A14">
      <w:pPr>
        <w:ind w:firstLine="640" w:firstLineChars="200"/>
        <w:rPr>
          <w:rFonts w:hint="eastAsia" w:ascii="仿宋" w:hAnsi="仿宋" w:eastAsia="仿宋" w:cs="仿宋"/>
          <w:sz w:val="32"/>
          <w:szCs w:val="32"/>
        </w:rPr>
      </w:pPr>
      <w:r>
        <w:rPr>
          <w:rFonts w:hint="eastAsia" w:ascii="仿宋" w:hAnsi="仿宋" w:eastAsia="仿宋" w:cs="仿宋"/>
          <w:sz w:val="32"/>
          <w:szCs w:val="32"/>
        </w:rPr>
        <w:t>二是激发科技人员创新创造活力。近年来，科技部出台了不少政策举措，赋予科研单位和科研人员更大自主权，科研人员松绑减负取得实效。下一步，一方面要坚持放权赋能，赋予科研人员更大的技术路线决定权、科研经费支配权、资源调度权，扩大“包干制”范围，为科研人员潜心研究提供更好的制度保障。另一方面，深入实施“揭榜挂帅”“赛马制”“链主制”等新方式，减少考核频次，强化“里程碑”节点考核，提升项目实施绩效。</w:t>
      </w:r>
    </w:p>
    <w:p w14:paraId="05041CFA">
      <w:pPr>
        <w:ind w:firstLine="640" w:firstLineChars="200"/>
        <w:rPr>
          <w:rFonts w:hint="eastAsia" w:ascii="仿宋" w:hAnsi="仿宋" w:eastAsia="仿宋" w:cs="仿宋"/>
          <w:sz w:val="32"/>
          <w:szCs w:val="32"/>
        </w:rPr>
      </w:pPr>
      <w:r>
        <w:rPr>
          <w:rFonts w:hint="eastAsia" w:ascii="仿宋" w:hAnsi="仿宋" w:eastAsia="仿宋" w:cs="仿宋"/>
          <w:sz w:val="32"/>
          <w:szCs w:val="32"/>
        </w:rPr>
        <w:t>三是完善责任体系。按照改革部署要求，国家科技计划项目已从科技部全部划转到相关部门和单位，科技部重点抓好前端布局、中间检查和后端验收。下一步，要坚持目标导向和应用导向，压实主管部门、专业机构、承担单位的管理责任，让主管部门切实负起责来，严格把控项目进度和风险，确保任务按期完成。</w:t>
      </w:r>
    </w:p>
    <w:p w14:paraId="6B6A4453">
      <w:pPr>
        <w:ind w:firstLine="6080" w:firstLineChars="1900"/>
        <w:rPr>
          <w:rFonts w:hint="eastAsia" w:ascii="仿宋" w:hAnsi="仿宋" w:eastAsia="仿宋" w:cs="仿宋"/>
          <w:sz w:val="32"/>
          <w:szCs w:val="32"/>
        </w:rPr>
      </w:pPr>
      <w:r>
        <w:rPr>
          <w:rFonts w:hint="eastAsia" w:ascii="仿宋" w:hAnsi="仿宋" w:eastAsia="仿宋" w:cs="仿宋"/>
          <w:sz w:val="32"/>
          <w:szCs w:val="32"/>
        </w:rPr>
        <w:t xml:space="preserve">来源：科技日报 </w:t>
      </w:r>
    </w:p>
    <w:p w14:paraId="196BC0CF">
      <w:pPr>
        <w:rPr>
          <w:rFonts w:hint="default"/>
          <w:lang w:val="en-US" w:eastAsia="zh-CN"/>
        </w:rPr>
      </w:pPr>
      <w:r>
        <w:rPr>
          <w:rFonts w:hint="default"/>
          <w:lang w:val="en-US" w:eastAsia="zh-CN"/>
        </w:rPr>
        <w:br w:type="page"/>
      </w:r>
    </w:p>
    <w:p w14:paraId="5A75A0A2">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29C88ABC">
      <w:pPr>
        <w:rPr>
          <w:rFonts w:hint="eastAsia"/>
          <w:lang w:val="en-US" w:eastAsia="zh-CN"/>
        </w:rPr>
      </w:pPr>
    </w:p>
    <w:p w14:paraId="4EB85D84">
      <w:pPr>
        <w:keepNext w:val="0"/>
        <w:keepLines w:val="0"/>
        <w:pageBreakBefore w:val="0"/>
        <w:widowControl w:val="0"/>
        <w:numPr>
          <w:ilvl w:val="0"/>
          <w:numId w:val="3"/>
        </w:numPr>
        <w:kinsoku/>
        <w:wordWrap/>
        <w:overflowPunct/>
        <w:topLinePunct w:val="0"/>
        <w:autoSpaceDE/>
        <w:autoSpaceDN/>
        <w:bidi w:val="0"/>
        <w:adjustRightInd/>
        <w:snapToGrid/>
        <w:spacing w:afterAutospacing="0" w:line="200" w:lineRule="atLeast"/>
        <w:ind w:left="420" w:leftChars="0" w:hanging="420" w:firstLineChars="0"/>
        <w:jc w:val="left"/>
        <w:textAlignment w:val="auto"/>
        <w:rPr>
          <w:rFonts w:hint="default" w:ascii="华文行楷" w:hAnsi="华文行楷" w:eastAsia="华文行楷" w:cs="华文行楷"/>
          <w:b w:val="0"/>
          <w:bCs w:val="0"/>
          <w:color w:val="000000" w:themeColor="text1"/>
          <w:sz w:val="72"/>
          <w:szCs w:val="72"/>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pPr>
      <w:r>
        <w:rPr>
          <w:rFonts w:hint="eastAsia" w:ascii="华文行楷" w:hAnsi="华文行楷" w:eastAsia="华文行楷" w:cs="华文行楷"/>
          <w:b w:val="0"/>
          <w:bCs w:val="0"/>
          <w:color w:val="000000" w:themeColor="text1"/>
          <w:sz w:val="72"/>
          <w:szCs w:val="72"/>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t>协会动态</w:t>
      </w:r>
    </w:p>
    <w:p w14:paraId="3408A2C8">
      <w:pPr>
        <w:pStyle w:val="4"/>
        <w:bidi w:val="0"/>
        <w:ind w:firstLine="880" w:firstLineChars="200"/>
        <w:rPr>
          <w:rFonts w:hint="default" w:ascii="微软雅黑" w:hAnsi="微软雅黑" w:eastAsia="微软雅黑" w:cs="微软雅黑"/>
          <w:b w:val="0"/>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val="0"/>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我</w:t>
      </w:r>
      <w:r>
        <w:rPr>
          <w:rFonts w:hint="eastAsia" w:ascii="微软雅黑" w:hAnsi="微软雅黑" w:eastAsia="微软雅黑" w:cs="微软雅黑"/>
          <w:b w:val="0"/>
          <w:bCs/>
          <w:color w:val="000000" w:themeColor="text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会</w:t>
      </w:r>
      <w:r>
        <w:rPr>
          <w:rFonts w:hint="eastAsia" w:ascii="微软雅黑" w:hAnsi="微软雅黑" w:eastAsia="微软雅黑" w:cs="微软雅黑"/>
          <w:b w:val="0"/>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w:t>
      </w:r>
      <w:r>
        <w:rPr>
          <w:rFonts w:hint="eastAsia" w:ascii="微软雅黑" w:hAnsi="微软雅黑" w:eastAsia="微软雅黑" w:cs="微软雅黑"/>
          <w:b w:val="0"/>
          <w:bCs/>
          <w:color w:val="000000" w:themeColor="text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六届二次常务理事会</w:t>
      </w:r>
      <w:r>
        <w:rPr>
          <w:rFonts w:hint="eastAsia" w:ascii="微软雅黑" w:hAnsi="微软雅黑" w:eastAsia="微软雅黑" w:cs="微软雅黑"/>
          <w:b w:val="0"/>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在沪召开</w:t>
      </w:r>
    </w:p>
    <w:p w14:paraId="213A4078">
      <w:pPr>
        <w:ind w:firstLine="640" w:firstLineChars="200"/>
        <w:rPr>
          <w:rFonts w:hint="eastAsia" w:ascii="仿宋" w:hAnsi="仿宋" w:eastAsia="仿宋" w:cs="仿宋"/>
          <w:sz w:val="32"/>
          <w:szCs w:val="32"/>
        </w:rPr>
      </w:pPr>
      <w:r>
        <w:rPr>
          <w:rFonts w:hint="eastAsia" w:ascii="仿宋" w:hAnsi="仿宋" w:eastAsia="仿宋" w:cs="仿宋"/>
          <w:sz w:val="32"/>
          <w:szCs w:val="32"/>
        </w:rPr>
        <w:t>2024年4月2日中国技术市场协会第六届二次常务理事会在上海召开，会议由王兵副会长主持，来自北京、上海、天津、山东、浙江等地40余名代表参加了会议。</w:t>
      </w:r>
    </w:p>
    <w:p w14:paraId="6C374C03">
      <w:pPr>
        <w:rPr>
          <w:rFonts w:hint="eastAsia" w:ascii="仿宋" w:hAnsi="仿宋" w:eastAsia="仿宋" w:cs="仿宋"/>
          <w:sz w:val="32"/>
          <w:szCs w:val="32"/>
        </w:rPr>
      </w:pPr>
      <w:r>
        <w:rPr>
          <w:rFonts w:ascii="仿宋" w:hAnsi="仿宋" w:eastAsia="仿宋"/>
          <w:sz w:val="32"/>
          <w:szCs w:val="32"/>
        </w:rPr>
        <w:drawing>
          <wp:inline distT="0" distB="0" distL="0" distR="0">
            <wp:extent cx="5025390" cy="2612390"/>
            <wp:effectExtent l="9525" t="9525" r="13335" b="26035"/>
            <wp:docPr id="1382312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2260"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5390" cy="2612390"/>
                    </a:xfrm>
                    <a:prstGeom prst="rect">
                      <a:avLst/>
                    </a:prstGeom>
                    <a:ln>
                      <a:solidFill>
                        <a:schemeClr val="tx1"/>
                      </a:solidFill>
                    </a:ln>
                  </pic:spPr>
                </pic:pic>
              </a:graphicData>
            </a:graphic>
          </wp:inline>
        </w:drawing>
      </w:r>
    </w:p>
    <w:p w14:paraId="0C6F6A88">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为进一步促进科技金融支持科技成果转化，加速形成新质生产力，持续构建科技与金融的服务体系，</w:t>
      </w:r>
      <w:r>
        <w:rPr>
          <w:rFonts w:hint="eastAsia" w:ascii="仿宋" w:hAnsi="仿宋" w:eastAsia="仿宋" w:cs="仿宋"/>
          <w:color w:val="000000" w:themeColor="text1"/>
          <w:sz w:val="32"/>
          <w:szCs w:val="32"/>
          <w14:textFill>
            <w14:solidFill>
              <w14:schemeClr w14:val="tx1"/>
            </w14:solidFill>
          </w14:textFill>
        </w:rPr>
        <w:t>会议听取了科技金融专业委员会筹备工作汇报，</w:t>
      </w:r>
      <w:r>
        <w:rPr>
          <w:rFonts w:hint="eastAsia" w:ascii="仿宋" w:hAnsi="仿宋" w:eastAsia="仿宋" w:cs="仿宋"/>
          <w:sz w:val="32"/>
          <w:szCs w:val="32"/>
        </w:rPr>
        <w:t>审议通过了成立中国技术市场协会科技金融专业委员会的议案</w:t>
      </w:r>
      <w:r>
        <w:rPr>
          <w:rFonts w:hint="eastAsia" w:ascii="仿宋" w:hAnsi="仿宋" w:eastAsia="仿宋" w:cs="仿宋"/>
          <w:sz w:val="32"/>
          <w:szCs w:val="32"/>
          <w:lang w:eastAsia="zh-CN"/>
        </w:rPr>
        <w:t>。</w:t>
      </w:r>
    </w:p>
    <w:p w14:paraId="27A0FAB9">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许爱东副会长向与会代表通报了今年协会的主要工作。会议还就技术市场人才培养、标准制修订、金桥奖评选表彰、科技服务业论坛等具体工作征求了常务理事的意见和建议。</w:t>
      </w:r>
      <w:r>
        <w:rPr>
          <w:rFonts w:hint="eastAsia" w:ascii="仿宋" w:hAnsi="仿宋" w:eastAsia="仿宋" w:cs="仿宋"/>
          <w:sz w:val="32"/>
          <w:szCs w:val="32"/>
          <w:lang w:val="en-US" w:eastAsia="zh-CN"/>
        </w:rPr>
        <w:t xml:space="preserve">                     </w:t>
      </w:r>
    </w:p>
    <w:p w14:paraId="5D26D4F1">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中</w:t>
      </w:r>
      <w:r>
        <w:rPr>
          <w:rFonts w:hint="eastAsia" w:ascii="仿宋" w:hAnsi="仿宋" w:eastAsia="仿宋" w:cs="仿宋"/>
          <w:sz w:val="32"/>
          <w:szCs w:val="32"/>
        </w:rPr>
        <w:t>国技术市场协会副会长白建原、钱天林、郜文、颜明峰、张祝秀，以及上海东部中心总裁邹叔君、江苏省技术市场协会理事长段雄、上海市技术市场协会常务副会长李莉颜、中国技术市场协会交通运输专业委员会秘书长刘涛、中国技术市场协会科技评价专业委员会秘书长张兆西等代表分别发言，对协会取得的成绩给予了肯定，并对下一步工作提出了建设性的意见和建议。</w:t>
      </w:r>
    </w:p>
    <w:p w14:paraId="470646C3">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最后，杨显武会长做总结讲话。他首先对上海技术交易所对本次活动的大力支持表示衷心感谢，同时对协会的工作提出了殷切的希望，希望秘书处总结好代表们的意见和建议，加强自身建设，提升服务会员能力，为推动国内科技成果转移转化和高新技术产业化做好桥梁纽带作用，为实现中国式现代化做出应用的贡献。</w:t>
      </w:r>
    </w:p>
    <w:p w14:paraId="6E77CB8D">
      <w:pPr>
        <w:ind w:firstLine="320" w:firstLineChars="100"/>
        <w:rPr>
          <w:rFonts w:hint="eastAsia" w:ascii="仿宋" w:hAnsi="仿宋" w:eastAsia="仿宋" w:cs="仿宋"/>
          <w:color w:val="000000" w:themeColor="text1"/>
          <w:sz w:val="32"/>
          <w:szCs w:val="32"/>
          <w14:textFill>
            <w14:solidFill>
              <w14:schemeClr w14:val="tx1"/>
            </w14:solidFill>
          </w14:textFill>
        </w:rPr>
      </w:pPr>
    </w:p>
    <w:p w14:paraId="6C5D4EBD">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Chars="0" w:right="0" w:rightChars="0"/>
        <w:rPr>
          <w:rFonts w:hint="eastAsia" w:ascii="华文行楷" w:hAnsi="华文行楷" w:eastAsia="华文行楷" w:cs="华文行楷"/>
          <w:b/>
          <w:bCs/>
          <w:i w:val="0"/>
          <w:iCs w:val="0"/>
          <w:caps w:val="0"/>
          <w:color w:val="000000" w:themeColor="text1"/>
          <w:spacing w:val="0"/>
          <w:sz w:val="72"/>
          <w:szCs w:val="72"/>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p>
    <w:p w14:paraId="61B928A5">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Chars="0" w:right="0" w:rightChars="0"/>
        <w:rPr>
          <w:rFonts w:hint="eastAsia" w:ascii="华文行楷" w:hAnsi="华文行楷" w:eastAsia="华文行楷" w:cs="华文行楷"/>
          <w:b/>
          <w:bCs/>
          <w:i w:val="0"/>
          <w:iCs w:val="0"/>
          <w:caps w:val="0"/>
          <w:color w:val="000000" w:themeColor="text1"/>
          <w:spacing w:val="0"/>
          <w:sz w:val="72"/>
          <w:szCs w:val="72"/>
          <w:shd w:val="clear" w:fill="FFFFFF"/>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p>
    <w:p w14:paraId="7D51AAAE">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Chars="0" w:right="0" w:rightChars="0"/>
        <w:rPr>
          <w:rFonts w:hint="eastAsia" w:ascii="华文行楷" w:hAnsi="华文行楷" w:eastAsia="华文行楷" w:cs="华文行楷"/>
          <w:b/>
          <w:bCs/>
          <w:i w:val="0"/>
          <w:iCs w:val="0"/>
          <w:caps w:val="0"/>
          <w:color w:val="000000" w:themeColor="text1"/>
          <w:spacing w:val="0"/>
          <w:sz w:val="72"/>
          <w:szCs w:val="72"/>
          <w:shd w:val="clear" w:fill="FFFFFF"/>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p>
    <w:p w14:paraId="50810785">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420" w:leftChars="0" w:right="0" w:rightChars="0" w:hanging="420" w:firstLineChars="0"/>
        <w:rPr>
          <w:rFonts w:hint="eastAsia" w:ascii="华文行楷" w:hAnsi="华文行楷" w:eastAsia="华文行楷" w:cs="华文行楷"/>
          <w:b w:val="0"/>
          <w:bCs w:val="0"/>
          <w:i w:val="0"/>
          <w:iCs w:val="0"/>
          <w:caps w:val="0"/>
          <w:color w:val="000000" w:themeColor="text1"/>
          <w:spacing w:val="0"/>
          <w:sz w:val="72"/>
          <w:szCs w:val="7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sectPr>
          <w:headerReference r:id="rId7" w:type="default"/>
          <w:pgSz w:w="11906" w:h="16838"/>
          <w:pgMar w:top="1440" w:right="1800" w:bottom="1440" w:left="1800" w:header="851" w:footer="992" w:gutter="0"/>
          <w:pgNumType w:fmt="decimal"/>
          <w:cols w:space="425" w:num="1"/>
          <w:docGrid w:type="lines" w:linePitch="312" w:charSpace="0"/>
        </w:sectPr>
      </w:pPr>
    </w:p>
    <w:p w14:paraId="4D86082F">
      <w:pPr>
        <w:numPr>
          <w:ilvl w:val="0"/>
          <w:numId w:val="0"/>
        </w:numPr>
        <w:jc w:val="both"/>
        <w:rPr>
          <w:rFonts w:hint="eastAsia" w:ascii="微软雅黑" w:hAnsi="微软雅黑" w:eastAsia="微软雅黑" w:cs="微软雅黑"/>
          <w:i w:val="0"/>
          <w:iCs w:val="0"/>
          <w:caps w:val="0"/>
          <w:color w:val="000000" w:themeColor="text1"/>
          <w:spacing w:val="0"/>
          <w:sz w:val="44"/>
          <w:szCs w:val="44"/>
          <w:shd w:val="clear" w:fill="FFFFFF"/>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i w:val="0"/>
          <w:iCs w:val="0"/>
          <w:caps w:val="0"/>
          <w:color w:val="000000" w:themeColor="text1"/>
          <w:spacing w:val="0"/>
          <w:sz w:val="44"/>
          <w:szCs w:val="44"/>
          <w:shd w:val="clear" w:fill="FFFFFF"/>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中国技术市场协会开展学习贯彻二十届</w:t>
      </w:r>
    </w:p>
    <w:p w14:paraId="385BAA1D">
      <w:pPr>
        <w:numPr>
          <w:ilvl w:val="0"/>
          <w:numId w:val="0"/>
        </w:numPr>
        <w:ind w:firstLine="2640" w:firstLineChars="600"/>
        <w:jc w:val="both"/>
        <w:rPr>
          <w:rFonts w:hint="eastAsia" w:ascii="微软雅黑" w:hAnsi="微软雅黑" w:eastAsia="微软雅黑" w:cs="微软雅黑"/>
          <w:color w:val="000000" w:themeColor="text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i w:val="0"/>
          <w:iCs w:val="0"/>
          <w:caps w:val="0"/>
          <w:color w:val="000000" w:themeColor="text1"/>
          <w:spacing w:val="0"/>
          <w:sz w:val="44"/>
          <w:szCs w:val="44"/>
          <w:shd w:val="clear" w:fill="FFFFFF"/>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三中全会精神</w:t>
      </w:r>
    </w:p>
    <w:p w14:paraId="306CD4E2">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近日</w:t>
      </w:r>
      <w:r>
        <w:rPr>
          <w:rFonts w:hint="eastAsia" w:ascii="仿宋" w:hAnsi="仿宋" w:eastAsia="仿宋" w:cs="仿宋"/>
          <w:sz w:val="32"/>
          <w:szCs w:val="32"/>
        </w:rPr>
        <w:t>，中国共产党第二十届中央委员会第三次全体会议</w:t>
      </w:r>
      <w:r>
        <w:rPr>
          <w:rFonts w:hint="eastAsia" w:ascii="仿宋" w:hAnsi="仿宋" w:eastAsia="仿宋" w:cs="仿宋"/>
          <w:sz w:val="32"/>
          <w:szCs w:val="32"/>
          <w:lang w:val="en-US" w:eastAsia="zh-CN"/>
        </w:rPr>
        <w:t>顺利召开，会议</w:t>
      </w:r>
      <w:r>
        <w:rPr>
          <w:rFonts w:hint="eastAsia" w:ascii="仿宋" w:hAnsi="仿宋" w:eastAsia="仿宋" w:cs="仿宋"/>
          <w:sz w:val="32"/>
          <w:szCs w:val="32"/>
        </w:rPr>
        <w:t>通过《中国共产党第二十届中央委员会第三次全体会议公报》，全会审议通过《中共中央关于进一步全面深化改革、推进中国式现代化的决定》</w:t>
      </w:r>
      <w:r>
        <w:rPr>
          <w:rFonts w:hint="eastAsia" w:ascii="仿宋" w:hAnsi="仿宋" w:eastAsia="仿宋" w:cs="仿宋"/>
          <w:sz w:val="32"/>
          <w:szCs w:val="32"/>
          <w:lang w:eastAsia="zh-CN"/>
        </w:rPr>
        <w:t>。</w:t>
      </w:r>
    </w:p>
    <w:p w14:paraId="6A013058">
      <w:pPr>
        <w:ind w:firstLine="420" w:firstLineChars="200"/>
        <w:rPr>
          <w:rFonts w:hint="eastAsia" w:ascii="仿宋" w:hAnsi="仿宋" w:eastAsia="仿宋" w:cs="仿宋"/>
          <w:sz w:val="32"/>
          <w:szCs w:val="32"/>
          <w:lang w:eastAsia="zh-CN"/>
        </w:rPr>
      </w:pPr>
      <w:r>
        <w:rPr>
          <w:rFonts w:hint="eastAsia"/>
          <w:lang w:eastAsia="zh-CN"/>
        </w:rPr>
        <w:drawing>
          <wp:inline distT="0" distB="0" distL="114300" distR="114300">
            <wp:extent cx="5025390" cy="2613660"/>
            <wp:effectExtent l="9525" t="9525" r="13335" b="24765"/>
            <wp:docPr id="6" name="图片 6" descr="微信图片_20240807113034"/>
            <wp:cNvGraphicFramePr/>
            <a:graphic xmlns:a="http://schemas.openxmlformats.org/drawingml/2006/main">
              <a:graphicData uri="http://schemas.openxmlformats.org/drawingml/2006/picture">
                <pic:pic xmlns:pic="http://schemas.openxmlformats.org/drawingml/2006/picture">
                  <pic:nvPicPr>
                    <pic:cNvPr id="6" name="图片 6" descr="微信图片_20240807113034"/>
                    <pic:cNvPicPr/>
                  </pic:nvPicPr>
                  <pic:blipFill>
                    <a:blip r:embed="rId13"/>
                    <a:stretch>
                      <a:fillRect/>
                    </a:stretch>
                  </pic:blipFill>
                  <pic:spPr>
                    <a:xfrm>
                      <a:off x="0" y="0"/>
                      <a:ext cx="5025390" cy="2613660"/>
                    </a:xfrm>
                    <a:prstGeom prst="rect">
                      <a:avLst/>
                    </a:prstGeom>
                    <a:ln>
                      <a:solidFill>
                        <a:schemeClr val="tx1"/>
                      </a:solidFill>
                    </a:ln>
                  </pic:spPr>
                </pic:pic>
              </a:graphicData>
            </a:graphic>
          </wp:inline>
        </w:drawing>
      </w:r>
    </w:p>
    <w:p w14:paraId="53C3E3E6">
      <w:pPr>
        <w:ind w:firstLine="640" w:firstLineChars="200"/>
        <w:rPr>
          <w:rFonts w:hint="eastAsia" w:ascii="仿宋" w:hAnsi="仿宋" w:eastAsia="宋体" w:cs="仿宋"/>
          <w:sz w:val="32"/>
          <w:szCs w:val="32"/>
          <w:lang w:val="en-US" w:eastAsia="zh-CN"/>
        </w:rPr>
      </w:pPr>
      <w:r>
        <w:rPr>
          <w:rFonts w:hint="eastAsia" w:ascii="仿宋" w:hAnsi="仿宋" w:eastAsia="仿宋" w:cs="仿宋"/>
          <w:sz w:val="32"/>
          <w:szCs w:val="32"/>
          <w:lang w:val="en-US" w:eastAsia="zh-CN"/>
        </w:rPr>
        <w:t>我</w:t>
      </w:r>
      <w:r>
        <w:rPr>
          <w:rFonts w:hint="eastAsia" w:ascii="仿宋" w:hAnsi="仿宋" w:eastAsia="仿宋" w:cs="仿宋"/>
          <w:sz w:val="32"/>
          <w:szCs w:val="32"/>
        </w:rPr>
        <w:t>会</w:t>
      </w:r>
      <w:r>
        <w:rPr>
          <w:rFonts w:hint="eastAsia" w:ascii="仿宋" w:hAnsi="仿宋" w:eastAsia="仿宋" w:cs="仿宋"/>
          <w:sz w:val="32"/>
          <w:szCs w:val="32"/>
          <w:lang w:val="en-US" w:eastAsia="zh-CN"/>
        </w:rPr>
        <w:t>聚焦二十届三中全会时事并</w:t>
      </w:r>
      <w:r>
        <w:rPr>
          <w:rFonts w:hint="eastAsia" w:ascii="仿宋" w:hAnsi="仿宋" w:eastAsia="仿宋" w:cs="仿宋"/>
          <w:sz w:val="32"/>
          <w:szCs w:val="32"/>
        </w:rPr>
        <w:t>迅速组织全体</w:t>
      </w:r>
      <w:r>
        <w:rPr>
          <w:rFonts w:hint="eastAsia" w:ascii="仿宋" w:hAnsi="仿宋" w:eastAsia="仿宋" w:cs="仿宋"/>
          <w:sz w:val="32"/>
          <w:szCs w:val="32"/>
          <w:lang w:val="en-US" w:eastAsia="zh-CN"/>
        </w:rPr>
        <w:t>成员、分支机构等</w:t>
      </w:r>
      <w:r>
        <w:rPr>
          <w:rFonts w:hint="eastAsia" w:ascii="仿宋" w:hAnsi="仿宋" w:eastAsia="仿宋" w:cs="仿宋"/>
          <w:sz w:val="32"/>
          <w:szCs w:val="32"/>
        </w:rPr>
        <w:t>深入学习</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领会、贯彻二十届三中</w:t>
      </w:r>
      <w:r>
        <w:rPr>
          <w:rFonts w:hint="eastAsia" w:ascii="仿宋" w:hAnsi="仿宋" w:eastAsia="仿宋" w:cs="仿宋"/>
          <w:sz w:val="32"/>
          <w:szCs w:val="32"/>
        </w:rPr>
        <w:t>全会</w:t>
      </w:r>
      <w:r>
        <w:rPr>
          <w:rFonts w:hint="eastAsia" w:ascii="仿宋" w:hAnsi="仿宋" w:eastAsia="仿宋" w:cs="仿宋"/>
          <w:sz w:val="32"/>
          <w:szCs w:val="32"/>
          <w:lang w:val="en-US" w:eastAsia="zh-CN"/>
        </w:rPr>
        <w:t>关于</w:t>
      </w:r>
      <w:r>
        <w:rPr>
          <w:rFonts w:hint="eastAsia" w:ascii="仿宋" w:hAnsi="仿宋" w:eastAsia="仿宋" w:cs="仿宋"/>
          <w:sz w:val="32"/>
          <w:szCs w:val="32"/>
        </w:rPr>
        <w:t>全面深化改革的一系列新思想、新观点、新论断，</w:t>
      </w:r>
      <w:r>
        <w:rPr>
          <w:rFonts w:hint="eastAsia" w:ascii="仿宋" w:hAnsi="仿宋" w:eastAsia="仿宋" w:cs="仿宋"/>
          <w:sz w:val="32"/>
          <w:szCs w:val="32"/>
          <w:lang w:val="en-US" w:eastAsia="zh-CN"/>
        </w:rPr>
        <w:t>努力</w:t>
      </w:r>
      <w:r>
        <w:rPr>
          <w:rFonts w:hint="eastAsia" w:ascii="仿宋" w:hAnsi="仿宋" w:eastAsia="仿宋" w:cs="仿宋"/>
          <w:sz w:val="32"/>
          <w:szCs w:val="32"/>
        </w:rPr>
        <w:t>将全会精神转化为推动技术市场创新发展的强大动力和实际成效</w:t>
      </w:r>
      <w:r>
        <w:rPr>
          <w:rFonts w:hint="eastAsia" w:ascii="仿宋" w:hAnsi="仿宋" w:eastAsia="仿宋" w:cs="仿宋"/>
          <w:sz w:val="32"/>
          <w:szCs w:val="32"/>
          <w:lang w:eastAsia="zh-CN"/>
        </w:rPr>
        <w:t>。</w:t>
      </w:r>
      <w:r>
        <w:rPr>
          <w:rFonts w:hint="eastAsia" w:ascii="方正仿宋_GB2312" w:hAnsi="方正仿宋_GB2312" w:eastAsia="方正仿宋_GB2312" w:cs="方正仿宋_GB2312"/>
          <w:sz w:val="32"/>
          <w:szCs w:val="32"/>
          <w:lang w:val="en-US" w:eastAsia="zh-CN"/>
        </w:rPr>
        <w:t>以下是我会</w:t>
      </w:r>
      <w:r>
        <w:rPr>
          <w:rFonts w:hint="eastAsia" w:ascii="方正仿宋_GB2312" w:hAnsi="方正仿宋_GB2312" w:eastAsia="方正仿宋_GB2312" w:cs="方正仿宋_GB2312"/>
          <w:sz w:val="32"/>
          <w:szCs w:val="32"/>
        </w:rPr>
        <w:t>多种形式</w:t>
      </w:r>
      <w:r>
        <w:rPr>
          <w:rFonts w:hint="eastAsia" w:ascii="方正仿宋_GB2312" w:hAnsi="方正仿宋_GB2312" w:eastAsia="方正仿宋_GB2312" w:cs="方正仿宋_GB2312"/>
          <w:sz w:val="32"/>
          <w:szCs w:val="32"/>
          <w:lang w:val="en-US" w:eastAsia="zh-CN"/>
        </w:rPr>
        <w:t>认真学习</w:t>
      </w:r>
      <w:r>
        <w:rPr>
          <w:rFonts w:hint="eastAsia" w:ascii="方正仿宋_GB2312" w:hAnsi="方正仿宋_GB2312" w:eastAsia="方正仿宋_GB2312" w:cs="方正仿宋_GB2312"/>
          <w:sz w:val="32"/>
          <w:szCs w:val="32"/>
        </w:rPr>
        <w:t>会议精神</w:t>
      </w:r>
      <w:r>
        <w:rPr>
          <w:rFonts w:hint="eastAsia" w:ascii="方正仿宋_GB2312" w:hAnsi="方正仿宋_GB2312" w:eastAsia="方正仿宋_GB2312" w:cs="方正仿宋_GB2312"/>
          <w:sz w:val="32"/>
          <w:szCs w:val="32"/>
          <w:lang w:eastAsia="zh-CN"/>
        </w:rPr>
        <w:t>。</w:t>
      </w:r>
    </w:p>
    <w:p w14:paraId="6B3915B8">
      <w:pPr>
        <w:numPr>
          <w:ilvl w:val="0"/>
          <w:numId w:val="4"/>
        </w:numPr>
        <w:rPr>
          <w:rFonts w:ascii="微软雅黑" w:hAnsi="微软雅黑" w:eastAsia="微软雅黑" w:cs="微软雅黑"/>
          <w:i w:val="0"/>
          <w:iCs w:val="0"/>
          <w:caps w:val="0"/>
          <w:color w:val="333333"/>
          <w:spacing w:val="0"/>
          <w:sz w:val="27"/>
          <w:szCs w:val="27"/>
        </w:rPr>
      </w:pPr>
      <w:r>
        <w:rPr>
          <w:rFonts w:hint="eastAsia" w:ascii="仿宋" w:hAnsi="仿宋" w:eastAsia="仿宋" w:cs="仿宋"/>
          <w:b/>
          <w:bCs/>
          <w:color w:val="000000" w:themeColor="text1"/>
          <w:sz w:val="32"/>
          <w:szCs w:val="32"/>
          <w:lang w:val="en-US" w:eastAsia="zh-CN"/>
          <w14:textFill>
            <w14:solidFill>
              <w14:schemeClr w14:val="tx1"/>
            </w14:solidFill>
          </w14:textFill>
        </w:rPr>
        <w:t>统一认识</w:t>
      </w:r>
    </w:p>
    <w:p w14:paraId="5643BAD4">
      <w:pPr>
        <w:ind w:firstLine="640" w:firstLineChars="200"/>
        <w:rPr>
          <w:rFonts w:hint="eastAsia" w:ascii="微软雅黑" w:hAnsi="微软雅黑" w:eastAsia="微软雅黑" w:cs="微软雅黑"/>
          <w:i w:val="0"/>
          <w:iCs w:val="0"/>
          <w:caps w:val="0"/>
          <w:color w:val="333333"/>
          <w:spacing w:val="0"/>
          <w:sz w:val="27"/>
          <w:szCs w:val="27"/>
          <w:shd w:val="clear" w:fill="FFFFFF"/>
          <w:lang w:eastAsia="zh-CN"/>
        </w:rPr>
      </w:pPr>
      <w:r>
        <w:rPr>
          <w:rFonts w:hint="eastAsia" w:ascii="方正仿宋_GB2312" w:hAnsi="方正仿宋_GB2312" w:eastAsia="方正仿宋_GB2312" w:cs="方正仿宋_GB2312"/>
          <w:sz w:val="32"/>
          <w:szCs w:val="32"/>
        </w:rPr>
        <w:t>党的二十大确立了新时代新征程党的中心任务，对推进中国式现代化作出战略部署。要把这些战略部署落到实处，把中国式现代化蓝图变为现实，就要进一步全面深化改革</w:t>
      </w:r>
      <w:r>
        <w:rPr>
          <w:rFonts w:hint="eastAsia" w:ascii="微软雅黑" w:hAnsi="微软雅黑" w:eastAsia="微软雅黑" w:cs="微软雅黑"/>
          <w:i w:val="0"/>
          <w:iCs w:val="0"/>
          <w:caps w:val="0"/>
          <w:color w:val="333333"/>
          <w:spacing w:val="0"/>
          <w:sz w:val="27"/>
          <w:szCs w:val="27"/>
          <w:shd w:val="clear" w:fill="FFFFFF"/>
          <w:lang w:eastAsia="zh-CN"/>
        </w:rPr>
        <w:t>。</w:t>
      </w:r>
    </w:p>
    <w:p w14:paraId="63893F05">
      <w:pPr>
        <w:ind w:firstLine="640" w:firstLineChars="200"/>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全面深化改革</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推进中国式现代化是中国发展的重要战略</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这一战略的实施旨在完善和发展中国特色社会主义制度，推进国家治理体系和治理能力现代化，从而为中国的发展提供强大的动力和制度保障</w:t>
      </w:r>
      <w:r>
        <w:rPr>
          <w:rFonts w:hint="eastAsia" w:ascii="方正仿宋_GB2312" w:hAnsi="方正仿宋_GB2312" w:eastAsia="方正仿宋_GB2312" w:cs="方正仿宋_GB2312"/>
          <w:sz w:val="32"/>
          <w:szCs w:val="32"/>
          <w:lang w:eastAsia="zh-CN"/>
        </w:rPr>
        <w:t>。</w:t>
      </w:r>
    </w:p>
    <w:p w14:paraId="097FB80D">
      <w:pPr>
        <w:rPr>
          <w:rFonts w:hint="eastAsia" w:ascii="仿宋" w:hAnsi="仿宋" w:eastAsia="仿宋" w:cs="仿宋"/>
          <w:b/>
          <w:bCs/>
          <w:sz w:val="32"/>
          <w:szCs w:val="32"/>
        </w:rPr>
      </w:pPr>
      <w:r>
        <w:rPr>
          <w:rFonts w:hint="eastAsia" w:ascii="仿宋" w:hAnsi="仿宋" w:eastAsia="仿宋" w:cs="仿宋"/>
          <w:b/>
          <w:bCs/>
          <w:sz w:val="32"/>
          <w:szCs w:val="32"/>
        </w:rPr>
        <w:t>二、学习宣传情况</w:t>
      </w:r>
    </w:p>
    <w:p w14:paraId="1B75AF20">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组织专题学习：</w:t>
      </w:r>
      <w:r>
        <w:rPr>
          <w:rFonts w:hint="eastAsia" w:ascii="仿宋" w:hAnsi="仿宋" w:eastAsia="仿宋" w:cs="仿宋"/>
          <w:sz w:val="32"/>
          <w:szCs w:val="32"/>
          <w:lang w:eastAsia="zh-CN"/>
        </w:rPr>
        <w:t>我</w:t>
      </w:r>
      <w:r>
        <w:rPr>
          <w:rFonts w:hint="eastAsia" w:ascii="仿宋" w:hAnsi="仿宋" w:eastAsia="仿宋" w:cs="仿宋"/>
          <w:sz w:val="32"/>
          <w:szCs w:val="32"/>
        </w:rPr>
        <w:t>会通过召开专题学习会、研讨会等形式，</w:t>
      </w:r>
      <w:r>
        <w:rPr>
          <w:rFonts w:hint="eastAsia" w:ascii="仿宋" w:hAnsi="仿宋" w:eastAsia="仿宋" w:cs="仿宋"/>
          <w:sz w:val="32"/>
          <w:szCs w:val="32"/>
          <w:lang w:val="en-US" w:eastAsia="zh-CN"/>
        </w:rPr>
        <w:t>带动</w:t>
      </w:r>
      <w:r>
        <w:rPr>
          <w:rFonts w:hint="eastAsia" w:ascii="仿宋" w:hAnsi="仿宋" w:eastAsia="仿宋" w:cs="仿宋"/>
          <w:sz w:val="32"/>
          <w:szCs w:val="32"/>
        </w:rPr>
        <w:t>全体成员</w:t>
      </w:r>
      <w:r>
        <w:rPr>
          <w:rFonts w:hint="eastAsia" w:ascii="仿宋" w:hAnsi="仿宋" w:eastAsia="仿宋" w:cs="仿宋"/>
          <w:sz w:val="32"/>
          <w:szCs w:val="32"/>
          <w:lang w:val="en-US" w:eastAsia="zh-CN"/>
        </w:rPr>
        <w:t>及各会员单位</w:t>
      </w:r>
      <w:r>
        <w:rPr>
          <w:rFonts w:hint="eastAsia" w:ascii="仿宋" w:hAnsi="仿宋" w:eastAsia="仿宋" w:cs="仿宋"/>
          <w:sz w:val="32"/>
          <w:szCs w:val="32"/>
        </w:rPr>
        <w:t>认真学习</w:t>
      </w:r>
      <w:r>
        <w:rPr>
          <w:rFonts w:hint="eastAsia" w:ascii="仿宋" w:hAnsi="仿宋" w:eastAsia="仿宋" w:cs="仿宋"/>
          <w:sz w:val="32"/>
          <w:szCs w:val="32"/>
          <w:lang w:val="en-US" w:eastAsia="zh-CN"/>
        </w:rPr>
        <w:t>贯彻</w:t>
      </w:r>
      <w:r>
        <w:rPr>
          <w:rFonts w:hint="eastAsia" w:ascii="仿宋" w:hAnsi="仿宋" w:eastAsia="仿宋" w:cs="仿宋"/>
          <w:sz w:val="32"/>
          <w:szCs w:val="32"/>
        </w:rPr>
        <w:t>党的二十届三中全会公报和</w:t>
      </w:r>
      <w:r>
        <w:rPr>
          <w:rFonts w:hint="eastAsia" w:ascii="仿宋" w:hAnsi="仿宋" w:eastAsia="仿宋" w:cs="仿宋"/>
          <w:sz w:val="32"/>
          <w:szCs w:val="32"/>
          <w:lang w:val="en-US" w:eastAsia="zh-CN"/>
        </w:rPr>
        <w:t>习近平总书记关于本行业本领域的重要指示精神</w:t>
      </w:r>
      <w:r>
        <w:rPr>
          <w:rFonts w:hint="eastAsia" w:ascii="仿宋" w:hAnsi="仿宋" w:eastAsia="仿宋" w:cs="仿宋"/>
          <w:sz w:val="32"/>
          <w:szCs w:val="32"/>
        </w:rPr>
        <w:t>，深入领会</w:t>
      </w:r>
      <w:r>
        <w:rPr>
          <w:rFonts w:hint="eastAsia" w:ascii="仿宋" w:hAnsi="仿宋" w:eastAsia="仿宋" w:cs="仿宋"/>
          <w:sz w:val="32"/>
          <w:szCs w:val="32"/>
          <w:lang w:val="en-US" w:eastAsia="zh-CN"/>
        </w:rPr>
        <w:t>精神实质，把握核心要义。</w:t>
      </w:r>
    </w:p>
    <w:p w14:paraId="4825C1AD">
      <w:pPr>
        <w:ind w:firstLine="640" w:firstLineChars="200"/>
        <w:rPr>
          <w:rFonts w:hint="eastAsia" w:ascii="仿宋" w:hAnsi="仿宋" w:eastAsia="仿宋" w:cs="仿宋"/>
          <w:sz w:val="32"/>
          <w:szCs w:val="32"/>
        </w:rPr>
      </w:pPr>
      <w:r>
        <w:rPr>
          <w:rFonts w:hint="eastAsia" w:ascii="仿宋" w:hAnsi="仿宋" w:eastAsia="仿宋" w:cs="仿宋"/>
          <w:sz w:val="32"/>
          <w:szCs w:val="32"/>
        </w:rPr>
        <w:t>开展宣传宣讲：利用协会官网、微信公众号等新媒体平台，发布学习宣传材料</w:t>
      </w:r>
      <w:r>
        <w:rPr>
          <w:rFonts w:hint="eastAsia" w:ascii="仿宋" w:hAnsi="仿宋" w:eastAsia="仿宋" w:cs="仿宋"/>
          <w:sz w:val="32"/>
          <w:szCs w:val="32"/>
          <w:lang w:eastAsia="zh-CN"/>
        </w:rPr>
        <w:t>，</w:t>
      </w:r>
      <w:r>
        <w:rPr>
          <w:rFonts w:hint="eastAsia" w:ascii="仿宋" w:hAnsi="仿宋" w:eastAsia="仿宋" w:cs="仿宋"/>
          <w:sz w:val="32"/>
          <w:szCs w:val="32"/>
        </w:rPr>
        <w:t>扩大全会精神在技术市场领域的传播面和影响力。</w:t>
      </w:r>
    </w:p>
    <w:p w14:paraId="28DBBAD7">
      <w:pPr>
        <w:ind w:firstLine="640" w:firstLineChars="200"/>
        <w:rPr>
          <w:rFonts w:hint="eastAsia" w:ascii="仿宋" w:hAnsi="仿宋" w:eastAsia="仿宋" w:cs="仿宋"/>
          <w:sz w:val="32"/>
          <w:szCs w:val="32"/>
        </w:rPr>
      </w:pPr>
      <w:r>
        <w:rPr>
          <w:rFonts w:hint="eastAsia" w:ascii="仿宋" w:hAnsi="仿宋" w:eastAsia="仿宋" w:cs="仿宋"/>
          <w:sz w:val="32"/>
          <w:szCs w:val="32"/>
        </w:rPr>
        <w:t>创新学习方式：结合协会实际，采取线上线下相结合的方式，开展形式多样的学习</w:t>
      </w:r>
      <w:r>
        <w:rPr>
          <w:rFonts w:hint="eastAsia" w:ascii="仿宋" w:hAnsi="仿宋" w:eastAsia="仿宋" w:cs="仿宋"/>
          <w:sz w:val="32"/>
          <w:szCs w:val="32"/>
          <w:lang w:val="en-US" w:eastAsia="zh-CN"/>
        </w:rPr>
        <w:t>交流</w:t>
      </w:r>
      <w:r>
        <w:rPr>
          <w:rFonts w:hint="eastAsia" w:ascii="仿宋" w:hAnsi="仿宋" w:eastAsia="仿宋" w:cs="仿宋"/>
          <w:sz w:val="32"/>
          <w:szCs w:val="32"/>
        </w:rPr>
        <w:t>活动，如知识竞赛、征文比赛等，激发成员学习热情，确保学习效果。</w:t>
      </w:r>
    </w:p>
    <w:p w14:paraId="66FFFBD3">
      <w:pPr>
        <w:rPr>
          <w:rFonts w:hint="eastAsia" w:ascii="仿宋" w:hAnsi="仿宋" w:eastAsia="仿宋" w:cs="仿宋"/>
          <w:b/>
          <w:bCs/>
          <w:sz w:val="32"/>
          <w:szCs w:val="32"/>
        </w:rPr>
      </w:pPr>
      <w:r>
        <w:rPr>
          <w:rFonts w:hint="eastAsia" w:ascii="仿宋" w:hAnsi="仿宋" w:eastAsia="仿宋" w:cs="仿宋"/>
          <w:b/>
          <w:bCs/>
          <w:sz w:val="32"/>
          <w:szCs w:val="32"/>
        </w:rPr>
        <w:t>三、贯彻落实情况</w:t>
      </w:r>
    </w:p>
    <w:p w14:paraId="6F4B2194">
      <w:pPr>
        <w:ind w:firstLine="640" w:firstLineChars="200"/>
        <w:rPr>
          <w:rFonts w:hint="eastAsia" w:ascii="仿宋" w:hAnsi="仿宋" w:eastAsia="仿宋" w:cs="仿宋"/>
          <w:sz w:val="32"/>
          <w:szCs w:val="32"/>
        </w:rPr>
      </w:pPr>
      <w:r>
        <w:rPr>
          <w:rFonts w:hint="eastAsia" w:ascii="仿宋" w:hAnsi="仿宋" w:eastAsia="仿宋" w:cs="仿宋"/>
          <w:sz w:val="32"/>
          <w:szCs w:val="32"/>
        </w:rPr>
        <w:t>明确发展目标：</w:t>
      </w:r>
      <w:r>
        <w:rPr>
          <w:rFonts w:hint="eastAsia" w:ascii="仿宋" w:hAnsi="仿宋" w:eastAsia="仿宋" w:cs="仿宋"/>
          <w:sz w:val="32"/>
          <w:szCs w:val="32"/>
          <w:lang w:val="en-US" w:eastAsia="zh-CN"/>
        </w:rPr>
        <w:t>我会</w:t>
      </w:r>
      <w:r>
        <w:rPr>
          <w:rFonts w:hint="eastAsia" w:ascii="仿宋" w:hAnsi="仿宋" w:eastAsia="仿宋" w:cs="仿宋"/>
          <w:sz w:val="32"/>
          <w:szCs w:val="32"/>
        </w:rPr>
        <w:t>将全会精神与自身发展实际相结合，进一步明确技术市场创新发展的目标任务和重点方向，制定切实可行的工作计划和实施方案。</w:t>
      </w:r>
    </w:p>
    <w:p w14:paraId="65872E0B">
      <w:pPr>
        <w:ind w:firstLine="640" w:firstLineChars="200"/>
        <w:rPr>
          <w:rFonts w:hint="eastAsia" w:ascii="仿宋" w:hAnsi="仿宋" w:eastAsia="仿宋" w:cs="仿宋"/>
          <w:sz w:val="32"/>
          <w:szCs w:val="32"/>
        </w:rPr>
      </w:pPr>
      <w:r>
        <w:rPr>
          <w:rFonts w:hint="eastAsia" w:ascii="仿宋" w:hAnsi="仿宋" w:eastAsia="仿宋" w:cs="仿宋"/>
          <w:sz w:val="32"/>
          <w:szCs w:val="32"/>
        </w:rPr>
        <w:t>推动改革创新：围绕构建高水平社会主义市场经济体制的要求，</w:t>
      </w:r>
      <w:r>
        <w:rPr>
          <w:rFonts w:hint="eastAsia" w:ascii="仿宋" w:hAnsi="仿宋" w:eastAsia="仿宋" w:cs="仿宋"/>
          <w:sz w:val="32"/>
          <w:szCs w:val="32"/>
          <w:lang w:val="en-US" w:eastAsia="zh-CN"/>
        </w:rPr>
        <w:t>我会</w:t>
      </w:r>
      <w:r>
        <w:rPr>
          <w:rFonts w:hint="eastAsia" w:ascii="仿宋" w:hAnsi="仿宋" w:eastAsia="仿宋" w:cs="仿宋"/>
          <w:sz w:val="32"/>
          <w:szCs w:val="32"/>
        </w:rPr>
        <w:t>将积极推动技术市场领域的改革创新，完善技术交易规则，优化技术市场环境，激发市场活力和创新动力。</w:t>
      </w:r>
    </w:p>
    <w:p w14:paraId="03E07444">
      <w:pPr>
        <w:rPr>
          <w:rFonts w:hint="eastAsia" w:ascii="仿宋" w:hAnsi="仿宋" w:eastAsia="仿宋" w:cs="仿宋"/>
          <w:sz w:val="32"/>
          <w:szCs w:val="32"/>
        </w:rPr>
      </w:pPr>
      <w:r>
        <w:rPr>
          <w:rFonts w:hint="eastAsia" w:ascii="仿宋" w:hAnsi="仿宋" w:eastAsia="仿宋" w:cs="仿宋"/>
          <w:sz w:val="32"/>
          <w:szCs w:val="32"/>
        </w:rPr>
        <w:t>加强服务支持：</w:t>
      </w:r>
      <w:r>
        <w:rPr>
          <w:rFonts w:hint="eastAsia" w:ascii="仿宋" w:hAnsi="仿宋" w:eastAsia="仿宋" w:cs="仿宋"/>
          <w:sz w:val="32"/>
          <w:szCs w:val="32"/>
          <w:lang w:val="en-US" w:eastAsia="zh-CN"/>
        </w:rPr>
        <w:t>我会</w:t>
      </w:r>
      <w:r>
        <w:rPr>
          <w:rFonts w:hint="eastAsia" w:ascii="仿宋" w:hAnsi="仿宋" w:eastAsia="仿宋" w:cs="仿宋"/>
          <w:sz w:val="32"/>
          <w:szCs w:val="32"/>
        </w:rPr>
        <w:t>将加大对技术市场主体的服务支持力度，提供政策咨询、技术评估、项目对接等一站式服务，促进技术成果转化和产业化应用。</w:t>
      </w:r>
    </w:p>
    <w:p w14:paraId="03972CF1">
      <w:pPr>
        <w:ind w:firstLine="640" w:firstLineChars="200"/>
        <w:rPr>
          <w:rFonts w:hint="eastAsia" w:ascii="仿宋" w:hAnsi="仿宋" w:eastAsia="仿宋" w:cs="仿宋"/>
          <w:sz w:val="32"/>
          <w:szCs w:val="32"/>
        </w:rPr>
      </w:pPr>
      <w:r>
        <w:rPr>
          <w:rFonts w:hint="eastAsia" w:ascii="仿宋" w:hAnsi="仿宋" w:eastAsia="仿宋" w:cs="仿宋"/>
          <w:sz w:val="32"/>
          <w:szCs w:val="32"/>
        </w:rPr>
        <w:t>促进交流合作：加强与国际技术市场的交流合作，引进国外先进技术和管理经验，推动国内技术市场与国际接轨，提升我国技术市场的国际竞争力和影响力。</w:t>
      </w:r>
    </w:p>
    <w:p w14:paraId="095CBEC9">
      <w:pPr>
        <w:rPr>
          <w:rFonts w:hint="eastAsia" w:ascii="仿宋" w:hAnsi="仿宋" w:eastAsia="仿宋" w:cs="仿宋"/>
          <w:b/>
          <w:bCs/>
          <w:sz w:val="32"/>
          <w:szCs w:val="32"/>
        </w:rPr>
      </w:pPr>
      <w:r>
        <w:rPr>
          <w:rFonts w:hint="eastAsia" w:ascii="仿宋" w:hAnsi="仿宋" w:eastAsia="仿宋" w:cs="仿宋"/>
          <w:b/>
          <w:bCs/>
          <w:sz w:val="32"/>
          <w:szCs w:val="32"/>
        </w:rPr>
        <w:t>四、取得成效与经验总结</w:t>
      </w:r>
    </w:p>
    <w:p w14:paraId="3616DCE1">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我会</w:t>
      </w:r>
      <w:r>
        <w:rPr>
          <w:rFonts w:hint="eastAsia" w:ascii="仿宋" w:hAnsi="仿宋" w:eastAsia="仿宋" w:cs="仿宋"/>
          <w:sz w:val="32"/>
          <w:szCs w:val="32"/>
        </w:rPr>
        <w:t>在贯彻学习过程中积累了宝贵经验，如坚持理论联系实际、注重创新学习方式、加强内部协作与配合等。这些经验将为协会未来的发展提供有力支撑。</w:t>
      </w:r>
    </w:p>
    <w:p w14:paraId="345DE51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更加坚定推动</w:t>
      </w:r>
      <w:r>
        <w:rPr>
          <w:rFonts w:hint="eastAsia" w:ascii="仿宋" w:hAnsi="仿宋" w:eastAsia="仿宋" w:cs="仿宋"/>
          <w:sz w:val="32"/>
          <w:szCs w:val="32"/>
        </w:rPr>
        <w:t>深化科技成果转化机制改革</w:t>
      </w:r>
      <w:r>
        <w:rPr>
          <w:rFonts w:hint="eastAsia" w:ascii="仿宋" w:hAnsi="仿宋" w:eastAsia="仿宋" w:cs="仿宋"/>
          <w:sz w:val="32"/>
          <w:szCs w:val="32"/>
          <w:lang w:val="en-US" w:eastAsia="zh-CN"/>
        </w:rPr>
        <w:t>的决心</w:t>
      </w:r>
      <w:r>
        <w:rPr>
          <w:rFonts w:hint="eastAsia" w:ascii="仿宋" w:hAnsi="仿宋" w:eastAsia="仿宋" w:cs="仿宋"/>
          <w:sz w:val="32"/>
          <w:szCs w:val="32"/>
          <w:lang w:eastAsia="zh-CN"/>
        </w:rPr>
        <w:t>，</w:t>
      </w:r>
      <w:r>
        <w:rPr>
          <w:rFonts w:hint="eastAsia" w:ascii="仿宋" w:hAnsi="仿宋" w:eastAsia="仿宋" w:cs="仿宋"/>
          <w:sz w:val="32"/>
          <w:szCs w:val="32"/>
        </w:rPr>
        <w:t>坚持“四个面向”的战略导向，着力激发科技创新创造活力，着眼于科技创新和产业创新深度融合，</w:t>
      </w:r>
      <w:r>
        <w:rPr>
          <w:rFonts w:hint="eastAsia" w:ascii="仿宋" w:hAnsi="仿宋" w:eastAsia="仿宋" w:cs="仿宋"/>
          <w:sz w:val="32"/>
          <w:szCs w:val="32"/>
          <w:lang w:val="en-US" w:eastAsia="zh-CN"/>
        </w:rPr>
        <w:t>帮助会员</w:t>
      </w:r>
      <w:r>
        <w:rPr>
          <w:rFonts w:hint="eastAsia" w:ascii="仿宋" w:hAnsi="仿宋" w:eastAsia="仿宋" w:cs="仿宋"/>
          <w:sz w:val="32"/>
          <w:szCs w:val="32"/>
        </w:rPr>
        <w:t>企业</w:t>
      </w:r>
      <w:r>
        <w:rPr>
          <w:rFonts w:hint="eastAsia" w:ascii="仿宋" w:hAnsi="仿宋" w:eastAsia="仿宋" w:cs="仿宋"/>
          <w:sz w:val="32"/>
          <w:szCs w:val="32"/>
          <w:lang w:val="en-US" w:eastAsia="zh-CN"/>
        </w:rPr>
        <w:t>提升科技创新</w:t>
      </w:r>
      <w:r>
        <w:rPr>
          <w:rFonts w:hint="eastAsia" w:ascii="仿宋" w:hAnsi="仿宋" w:eastAsia="仿宋" w:cs="仿宋"/>
          <w:sz w:val="32"/>
          <w:szCs w:val="32"/>
        </w:rPr>
        <w:t>主体地位，加强企业主导的产学研深度融合。</w:t>
      </w:r>
    </w:p>
    <w:p w14:paraId="3F8B2606">
      <w:pPr>
        <w:ind w:firstLine="640" w:firstLineChars="200"/>
        <w:rPr>
          <w:rFonts w:hint="eastAsia" w:ascii="仿宋" w:hAnsi="仿宋" w:eastAsia="仿宋" w:cs="仿宋"/>
          <w:sz w:val="32"/>
          <w:szCs w:val="32"/>
        </w:rPr>
      </w:pPr>
      <w:r>
        <w:rPr>
          <w:rFonts w:hint="eastAsia" w:ascii="仿宋" w:hAnsi="仿宋" w:eastAsia="仿宋" w:cs="仿宋"/>
          <w:sz w:val="32"/>
          <w:szCs w:val="32"/>
        </w:rPr>
        <w:t>深化</w:t>
      </w:r>
      <w:r>
        <w:rPr>
          <w:rFonts w:hint="eastAsia" w:ascii="仿宋" w:hAnsi="仿宋" w:eastAsia="仿宋" w:cs="仿宋"/>
          <w:sz w:val="32"/>
          <w:szCs w:val="32"/>
          <w:lang w:val="en-US" w:eastAsia="zh-CN"/>
        </w:rPr>
        <w:t>技术市场</w:t>
      </w:r>
      <w:r>
        <w:rPr>
          <w:rFonts w:hint="eastAsia" w:ascii="仿宋" w:hAnsi="仿宋" w:eastAsia="仿宋" w:cs="仿宋"/>
          <w:sz w:val="32"/>
          <w:szCs w:val="32"/>
        </w:rPr>
        <w:t>人才</w:t>
      </w:r>
      <w:r>
        <w:rPr>
          <w:rFonts w:hint="eastAsia" w:ascii="仿宋" w:hAnsi="仿宋" w:eastAsia="仿宋" w:cs="仿宋"/>
          <w:sz w:val="32"/>
          <w:szCs w:val="32"/>
          <w:lang w:val="en-US" w:eastAsia="zh-CN"/>
        </w:rPr>
        <w:t>体系建设</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围绕科技咨询师、技术经理人等</w:t>
      </w:r>
      <w:r>
        <w:rPr>
          <w:rFonts w:hint="eastAsia" w:ascii="仿宋" w:hAnsi="仿宋" w:eastAsia="仿宋" w:cs="仿宋"/>
          <w:sz w:val="32"/>
          <w:szCs w:val="32"/>
        </w:rPr>
        <w:t>高技能人才</w:t>
      </w:r>
      <w:r>
        <w:rPr>
          <w:rFonts w:hint="eastAsia" w:ascii="仿宋" w:hAnsi="仿宋" w:eastAsia="仿宋" w:cs="仿宋"/>
          <w:sz w:val="32"/>
          <w:szCs w:val="32"/>
          <w:lang w:val="en-US" w:eastAsia="zh-CN"/>
        </w:rPr>
        <w:t>培养</w:t>
      </w:r>
      <w:r>
        <w:rPr>
          <w:rFonts w:hint="eastAsia" w:ascii="仿宋" w:hAnsi="仿宋" w:eastAsia="仿宋" w:cs="仿宋"/>
          <w:sz w:val="32"/>
          <w:szCs w:val="32"/>
        </w:rPr>
        <w:t>，建立以创新能力、质量、实效、贡献为导向的人才评价体系，为</w:t>
      </w:r>
      <w:r>
        <w:rPr>
          <w:rFonts w:hint="eastAsia" w:ascii="仿宋" w:hAnsi="仿宋" w:eastAsia="仿宋" w:cs="仿宋"/>
          <w:sz w:val="32"/>
          <w:szCs w:val="32"/>
          <w:lang w:val="en-US" w:eastAsia="zh-CN"/>
        </w:rPr>
        <w:t>技术市场</w:t>
      </w:r>
      <w:r>
        <w:rPr>
          <w:rFonts w:hint="eastAsia" w:ascii="仿宋" w:hAnsi="仿宋" w:eastAsia="仿宋" w:cs="仿宋"/>
          <w:sz w:val="32"/>
          <w:szCs w:val="32"/>
        </w:rPr>
        <w:t>人才成长营造良好的环境。</w:t>
      </w:r>
    </w:p>
    <w:p w14:paraId="50DBC251">
      <w:pPr>
        <w:rPr>
          <w:rFonts w:hint="eastAsia" w:ascii="仿宋" w:hAnsi="仿宋" w:eastAsia="仿宋" w:cs="仿宋"/>
          <w:b/>
          <w:bCs/>
          <w:sz w:val="32"/>
          <w:szCs w:val="32"/>
        </w:rPr>
      </w:pPr>
      <w:r>
        <w:rPr>
          <w:rFonts w:hint="eastAsia" w:ascii="仿宋" w:hAnsi="仿宋" w:eastAsia="仿宋" w:cs="仿宋"/>
          <w:b/>
          <w:bCs/>
          <w:sz w:val="32"/>
          <w:szCs w:val="32"/>
        </w:rPr>
        <w:t>五、未来展望</w:t>
      </w:r>
    </w:p>
    <w:p w14:paraId="1500E3FD">
      <w:pPr>
        <w:ind w:firstLine="640" w:firstLineChars="200"/>
        <w:rPr>
          <w:rFonts w:hint="eastAsia" w:ascii="仿宋" w:hAnsi="仿宋" w:eastAsia="仿宋" w:cs="仿宋"/>
          <w:sz w:val="32"/>
          <w:szCs w:val="32"/>
        </w:rPr>
      </w:pPr>
      <w:r>
        <w:rPr>
          <w:rFonts w:hint="eastAsia" w:ascii="仿宋" w:hAnsi="仿宋" w:eastAsia="仿宋" w:cs="仿宋"/>
          <w:sz w:val="32"/>
          <w:szCs w:val="32"/>
        </w:rPr>
        <w:t>展望未来，</w:t>
      </w:r>
      <w:r>
        <w:rPr>
          <w:rFonts w:hint="eastAsia" w:ascii="仿宋" w:hAnsi="仿宋" w:eastAsia="仿宋" w:cs="仿宋"/>
          <w:sz w:val="32"/>
          <w:szCs w:val="32"/>
          <w:lang w:val="en-US" w:eastAsia="zh-CN"/>
        </w:rPr>
        <w:t>我</w:t>
      </w:r>
      <w:r>
        <w:rPr>
          <w:rFonts w:hint="eastAsia" w:ascii="仿宋" w:hAnsi="仿宋" w:eastAsia="仿宋" w:cs="仿宋"/>
          <w:sz w:val="32"/>
          <w:szCs w:val="32"/>
        </w:rPr>
        <w:t>会将继续</w:t>
      </w:r>
      <w:r>
        <w:rPr>
          <w:rFonts w:hint="eastAsia" w:ascii="仿宋" w:hAnsi="仿宋" w:eastAsia="仿宋" w:cs="仿宋"/>
          <w:sz w:val="32"/>
          <w:szCs w:val="32"/>
          <w:lang w:val="en-US" w:eastAsia="zh-CN"/>
        </w:rPr>
        <w:t>带动会员单位一起</w:t>
      </w:r>
      <w:r>
        <w:rPr>
          <w:rFonts w:hint="eastAsia" w:ascii="仿宋" w:hAnsi="仿宋" w:eastAsia="仿宋" w:cs="仿宋"/>
          <w:sz w:val="32"/>
          <w:szCs w:val="32"/>
        </w:rPr>
        <w:t>深入学习贯彻党的二十届三中全会精神，</w:t>
      </w:r>
      <w:r>
        <w:rPr>
          <w:rFonts w:hint="eastAsia" w:ascii="仿宋" w:hAnsi="仿宋" w:eastAsia="仿宋" w:cs="仿宋"/>
          <w:sz w:val="32"/>
          <w:szCs w:val="32"/>
          <w:lang w:val="en-US" w:eastAsia="zh-CN"/>
        </w:rPr>
        <w:t>帮助成员对全会精神理解把握，</w:t>
      </w:r>
      <w:r>
        <w:rPr>
          <w:rFonts w:hint="eastAsia" w:ascii="仿宋" w:hAnsi="仿宋" w:eastAsia="仿宋" w:cs="仿宋"/>
          <w:sz w:val="32"/>
          <w:szCs w:val="32"/>
        </w:rPr>
        <w:t>以更加饱满的热情和更加务实的作风，推动技术市场创新发展不断取得新突破、迈上新台阶。同时，也将加强与各相关部门</w:t>
      </w:r>
      <w:r>
        <w:rPr>
          <w:rFonts w:hint="eastAsia" w:ascii="仿宋" w:hAnsi="仿宋" w:eastAsia="仿宋" w:cs="仿宋"/>
          <w:sz w:val="32"/>
          <w:szCs w:val="32"/>
          <w:lang w:val="en-US" w:eastAsia="zh-CN"/>
        </w:rPr>
        <w:t>之间</w:t>
      </w:r>
      <w:r>
        <w:rPr>
          <w:rFonts w:hint="eastAsia" w:ascii="仿宋" w:hAnsi="仿宋" w:eastAsia="仿宋" w:cs="仿宋"/>
          <w:sz w:val="32"/>
          <w:szCs w:val="32"/>
        </w:rPr>
        <w:t>的沟通协作，共同推动技术市场领域的高质量发展。</w:t>
      </w:r>
    </w:p>
    <w:p w14:paraId="6537A715">
      <w:pPr>
        <w:rPr>
          <w:rFonts w:hint="eastAsia"/>
          <w:sz w:val="28"/>
          <w:szCs w:val="36"/>
        </w:rPr>
      </w:pPr>
    </w:p>
    <w:p w14:paraId="282A0254">
      <w:pPr>
        <w:rPr>
          <w:sz w:val="28"/>
          <w:szCs w:val="36"/>
        </w:rPr>
      </w:pPr>
    </w:p>
    <w:p w14:paraId="3401FCD5">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rightChars="0"/>
        <w:jc w:val="left"/>
        <w:rPr>
          <w:rFonts w:hint="eastAsia" w:ascii="华文行楷" w:hAnsi="华文行楷" w:eastAsia="华文行楷" w:cs="华文行楷"/>
          <w:b w:val="0"/>
          <w:bCs w:val="0"/>
          <w:i w:val="0"/>
          <w:iCs w:val="0"/>
          <w:caps w:val="0"/>
          <w:color w:val="000000" w:themeColor="text1"/>
          <w:spacing w:val="0"/>
          <w:sz w:val="72"/>
          <w:szCs w:val="7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sectPr>
          <w:pgSz w:w="11906" w:h="16838"/>
          <w:pgMar w:top="1440" w:right="1800" w:bottom="1440" w:left="1800" w:header="851" w:footer="992" w:gutter="0"/>
          <w:pgNumType w:fmt="decimal"/>
          <w:cols w:space="425" w:num="1"/>
          <w:docGrid w:type="lines" w:linePitch="312" w:charSpace="0"/>
        </w:sectPr>
      </w:pPr>
    </w:p>
    <w:p w14:paraId="137E798D">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420" w:leftChars="0" w:right="0" w:rightChars="0" w:hanging="420" w:firstLineChars="0"/>
        <w:rPr>
          <w:rFonts w:hint="eastAsia" w:ascii="华文行楷" w:hAnsi="华文行楷" w:eastAsia="华文行楷" w:cs="华文行楷"/>
          <w:b w:val="0"/>
          <w:bCs w:val="0"/>
          <w:i w:val="0"/>
          <w:iCs w:val="0"/>
          <w:caps w:val="0"/>
          <w:color w:val="000000" w:themeColor="text1"/>
          <w:spacing w:val="0"/>
          <w:sz w:val="72"/>
          <w:szCs w:val="72"/>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pPr>
      <w:r>
        <w:rPr>
          <w:rFonts w:hint="eastAsia" w:ascii="华文行楷" w:hAnsi="华文行楷" w:eastAsia="华文行楷" w:cs="华文行楷"/>
          <w:b w:val="0"/>
          <w:bCs w:val="0"/>
          <w:i w:val="0"/>
          <w:iCs w:val="0"/>
          <w:caps w:val="0"/>
          <w:color w:val="000000" w:themeColor="text1"/>
          <w:spacing w:val="0"/>
          <w:sz w:val="72"/>
          <w:szCs w:val="72"/>
          <w:shd w:val="clear" w:fill="FFFFFF"/>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solidFill>
              <w14:schemeClr w14:val="tx1"/>
            </w14:solidFill>
          </w14:textFill>
          <w14:props3d w14:extrusionH="0" w14:contourW="0" w14:prstMaterial="clear"/>
        </w:rPr>
        <w:t>会员之窗</w:t>
      </w:r>
    </w:p>
    <w:p w14:paraId="294F707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firstLine="440" w:firstLineChars="100"/>
        <w:jc w:val="both"/>
        <w:rPr>
          <w:rFonts w:hint="eastAsia" w:ascii="微软雅黑" w:hAnsi="微软雅黑" w:eastAsia="微软雅黑" w:cs="微软雅黑"/>
          <w:b w:val="0"/>
          <w:bCs w:val="0"/>
          <w:i w:val="0"/>
          <w:iCs w:val="0"/>
          <w:caps w:val="0"/>
          <w:color w:val="000000" w:themeColor="text1"/>
          <w:spacing w:val="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val="0"/>
          <w:bCs w:val="0"/>
          <w:i w:val="0"/>
          <w:iCs w:val="0"/>
          <w:caps w:val="0"/>
          <w:color w:val="000000" w:themeColor="text1"/>
          <w:spacing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北京技术市场协会承办</w:t>
      </w:r>
      <w:r>
        <w:rPr>
          <w:rFonts w:hint="eastAsia" w:ascii="微软雅黑" w:hAnsi="微软雅黑" w:eastAsia="微软雅黑" w:cs="微软雅黑"/>
          <w:b w:val="0"/>
          <w:bCs w:val="0"/>
          <w:i w:val="0"/>
          <w:iCs w:val="0"/>
          <w:caps w:val="0"/>
          <w:color w:val="000000" w:themeColor="text1"/>
          <w:spacing w:val="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首届科技咨询师</w:t>
      </w:r>
    </w:p>
    <w:p w14:paraId="1B389CA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2640" w:firstLineChars="600"/>
        <w:jc w:val="both"/>
        <w:rPr>
          <w:rFonts w:ascii="微软雅黑" w:hAnsi="微软雅黑" w:eastAsia="微软雅黑" w:cs="微软雅黑"/>
          <w:b w:val="0"/>
          <w:bCs w:val="0"/>
          <w:color w:val="000000" w:themeColor="text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val="0"/>
          <w:bCs w:val="0"/>
          <w:i w:val="0"/>
          <w:iCs w:val="0"/>
          <w:caps w:val="0"/>
          <w:color w:val="000000" w:themeColor="text1"/>
          <w:spacing w:val="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职业技能大赛</w:t>
      </w:r>
    </w:p>
    <w:p w14:paraId="26526A27">
      <w:pPr>
        <w:ind w:firstLine="640" w:firstLineChars="200"/>
        <w:rPr>
          <w:rFonts w:hint="eastAsia" w:ascii="仿宋" w:hAnsi="仿宋" w:eastAsia="仿宋" w:cs="仿宋"/>
          <w:sz w:val="32"/>
          <w:szCs w:val="32"/>
        </w:rPr>
      </w:pPr>
      <w:r>
        <w:rPr>
          <w:rFonts w:hint="eastAsia" w:ascii="仿宋" w:hAnsi="仿宋" w:eastAsia="仿宋" w:cs="仿宋"/>
          <w:sz w:val="32"/>
          <w:szCs w:val="32"/>
        </w:rPr>
        <w:t>日前，北京市首届科技咨询师职业技能大赛开赛，赛事活动由北京市西城区人力社保局主办，</w:t>
      </w:r>
      <w:r>
        <w:rPr>
          <w:rFonts w:hint="eastAsia" w:ascii="仿宋" w:hAnsi="仿宋" w:eastAsia="仿宋" w:cs="仿宋"/>
          <w:sz w:val="32"/>
          <w:szCs w:val="32"/>
          <w:lang w:val="en-US" w:eastAsia="zh-CN"/>
        </w:rPr>
        <w:t>我会副会长单位</w:t>
      </w:r>
      <w:r>
        <w:rPr>
          <w:rFonts w:hint="eastAsia" w:ascii="仿宋" w:hAnsi="仿宋" w:eastAsia="仿宋" w:cs="仿宋"/>
          <w:sz w:val="32"/>
          <w:szCs w:val="32"/>
        </w:rPr>
        <w:t>北京技术市场协会承办。值得一提的是，本届科技咨询师技能大赛也是全国首次举办</w:t>
      </w:r>
      <w:r>
        <w:rPr>
          <w:rFonts w:hint="eastAsia" w:ascii="仿宋" w:hAnsi="仿宋" w:eastAsia="仿宋" w:cs="仿宋"/>
          <w:sz w:val="32"/>
          <w:szCs w:val="32"/>
          <w:lang w:eastAsia="zh-CN"/>
        </w:rPr>
        <w:t>。</w:t>
      </w:r>
      <w:r>
        <w:rPr>
          <w:rFonts w:hint="eastAsia" w:ascii="仿宋" w:hAnsi="仿宋" w:eastAsia="仿宋" w:cs="仿宋"/>
          <w:sz w:val="32"/>
          <w:szCs w:val="32"/>
        </w:rPr>
        <w:t> </w:t>
      </w:r>
    </w:p>
    <w:p w14:paraId="65B082E2">
      <w:pPr>
        <w:ind w:firstLine="640" w:firstLineChars="200"/>
        <w:rPr>
          <w:rFonts w:hint="eastAsia" w:ascii="仿宋" w:hAnsi="仿宋" w:eastAsia="仿宋" w:cs="仿宋"/>
          <w:sz w:val="32"/>
          <w:szCs w:val="32"/>
        </w:rPr>
      </w:pPr>
      <w:r>
        <w:rPr>
          <w:rFonts w:hint="eastAsia" w:ascii="仿宋" w:hAnsi="仿宋" w:eastAsia="仿宋" w:cs="仿宋"/>
          <w:sz w:val="32"/>
          <w:szCs w:val="32"/>
        </w:rPr>
        <w:t>科技咨询师是在科技创新、创业、成果转移与转化等技术经纪活动中，提供独立分析结果及解决方案的专业科技服务人员，是国家技术转移人才队伍中的一支重要力量。</w:t>
      </w:r>
      <w:r>
        <w:rPr>
          <w:rFonts w:hint="eastAsia" w:ascii="仿宋" w:hAnsi="仿宋" w:eastAsia="仿宋" w:cs="仿宋"/>
          <w:sz w:val="32"/>
          <w:szCs w:val="32"/>
          <w:lang w:val="en-US" w:eastAsia="zh-CN"/>
        </w:rPr>
        <w:t>我会</w:t>
      </w:r>
      <w:r>
        <w:rPr>
          <w:rFonts w:hint="eastAsia" w:ascii="仿宋" w:hAnsi="仿宋" w:eastAsia="仿宋" w:cs="仿宋"/>
          <w:sz w:val="32"/>
          <w:szCs w:val="32"/>
        </w:rPr>
        <w:t>在国家人力资源和社会保障部的大力支持下组织开发了《科技资询师》国家职业技能标准，同时牵头编写完成了培训大纲、教程及考试题库，搭建了科技咨询师公共服务平台。</w:t>
      </w:r>
    </w:p>
    <w:p w14:paraId="7B45184E">
      <w:pPr>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北京技术市场协会郜文理事长介绍，科技咨询师能够综合应用科技、经济、金融、法律等知识和经验，在技术创新、科技创业与投融资、高新技术产业化、技术贸易、企业策划等技术经济活动中，为用户提供咨询服务，对科技成果转化有着十分重要的作用。</w:t>
      </w:r>
    </w:p>
    <w:p w14:paraId="022A644F">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我会</w:t>
      </w:r>
      <w:r>
        <w:rPr>
          <w:rFonts w:hint="eastAsia" w:ascii="仿宋" w:hAnsi="仿宋" w:eastAsia="仿宋" w:cs="仿宋"/>
          <w:sz w:val="32"/>
          <w:szCs w:val="32"/>
        </w:rPr>
        <w:t>副会长王兵表示，实现高质量发展，离不开高技能人才的坚实支撑，希望北京技术市场协会以此次职业技能大赛为契机，搭建北京地区科技咨询师职业技能人才协同服务平台，建立健全高技能人才发展体系，增强国家科技创新发</w:t>
      </w:r>
      <w:r>
        <w:rPr>
          <w:rFonts w:hint="eastAsia" w:ascii="仿宋" w:hAnsi="仿宋" w:eastAsia="仿宋" w:cs="仿宋"/>
          <w:sz w:val="32"/>
          <w:szCs w:val="32"/>
          <w:lang w:val="en-US" w:eastAsia="zh-CN"/>
        </w:rPr>
        <w:t>展核心竞争力。</w:t>
      </w:r>
    </w:p>
    <w:p w14:paraId="0014BF6E">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drawing>
          <wp:inline distT="0" distB="0" distL="114300" distR="114300">
            <wp:extent cx="5025390" cy="2613660"/>
            <wp:effectExtent l="9525" t="9525" r="13335" b="24765"/>
            <wp:docPr id="18" name="图片 4" descr="1719282682160867.png"/>
            <wp:cNvGraphicFramePr/>
            <a:graphic xmlns:a="http://schemas.openxmlformats.org/drawingml/2006/main">
              <a:graphicData uri="http://schemas.openxmlformats.org/drawingml/2006/picture">
                <pic:pic xmlns:pic="http://schemas.openxmlformats.org/drawingml/2006/picture">
                  <pic:nvPicPr>
                    <pic:cNvPr id="18" name="图片 4" descr="1719282682160867.png"/>
                    <pic:cNvPicPr/>
                  </pic:nvPicPr>
                  <pic:blipFill>
                    <a:blip r:embed="rId14"/>
                    <a:stretch>
                      <a:fillRect/>
                    </a:stretch>
                  </pic:blipFill>
                  <pic:spPr>
                    <a:xfrm>
                      <a:off x="0" y="0"/>
                      <a:ext cx="5025390" cy="2613660"/>
                    </a:xfrm>
                    <a:prstGeom prst="rect">
                      <a:avLst/>
                    </a:prstGeom>
                    <a:noFill/>
                    <a:ln w="9525">
                      <a:solidFill>
                        <a:schemeClr val="bg2"/>
                      </a:solidFill>
                    </a:ln>
                  </pic:spPr>
                </pic:pic>
              </a:graphicData>
            </a:graphic>
          </wp:inline>
        </w:drawing>
      </w:r>
    </w:p>
    <w:p w14:paraId="3812E4C6">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这次</w:t>
      </w:r>
      <w:r>
        <w:rPr>
          <w:rFonts w:hint="eastAsia" w:ascii="仿宋" w:hAnsi="仿宋" w:eastAsia="仿宋" w:cs="仿宋"/>
          <w:sz w:val="32"/>
          <w:szCs w:val="32"/>
        </w:rPr>
        <w:t>首届科技咨询师技能大赛，吸引了来自北京北化大科技园有限公司、北京中关村留学人员创业园协会等多家单位的400余名选手报名，大赛以“理论考核+路演实操”相结合的方式进行”</w:t>
      </w:r>
      <w:r>
        <w:rPr>
          <w:rFonts w:hint="eastAsia" w:ascii="仿宋" w:hAnsi="仿宋" w:eastAsia="仿宋" w:cs="仿宋"/>
          <w:sz w:val="32"/>
          <w:szCs w:val="32"/>
          <w:lang w:eastAsia="zh-CN"/>
        </w:rPr>
        <w:t>。</w:t>
      </w:r>
    </w:p>
    <w:p w14:paraId="7AAB7275">
      <w:pPr>
        <w:ind w:firstLine="640" w:firstLineChars="200"/>
        <w:rPr>
          <w:rFonts w:hint="eastAsia" w:ascii="仿宋" w:hAnsi="仿宋" w:eastAsia="仿宋" w:cs="仿宋"/>
          <w:sz w:val="32"/>
          <w:szCs w:val="32"/>
        </w:rPr>
      </w:pPr>
      <w:r>
        <w:rPr>
          <w:rFonts w:hint="eastAsia" w:ascii="仿宋" w:hAnsi="仿宋" w:eastAsia="仿宋" w:cs="仿宋"/>
          <w:sz w:val="32"/>
          <w:szCs w:val="32"/>
        </w:rPr>
        <w:t>本次大赛由北京市科委原党组成员李京瑞担任裁判长，昌平区科技企业孵化联合会秘书长李奇、北京市技术市场管理办公室原相关负责人担任裁判。</w:t>
      </w:r>
    </w:p>
    <w:p w14:paraId="7623F0AA">
      <w:pPr>
        <w:rPr>
          <w:rFonts w:hint="eastAsia" w:ascii="仿宋" w:hAnsi="仿宋" w:eastAsia="仿宋" w:cs="仿宋"/>
          <w:sz w:val="32"/>
          <w:szCs w:val="32"/>
        </w:rPr>
      </w:pPr>
      <w:r>
        <w:rPr>
          <w:rFonts w:hint="eastAsia" w:ascii="仿宋" w:hAnsi="仿宋" w:eastAsia="仿宋" w:cs="仿宋"/>
          <w:sz w:val="32"/>
          <w:szCs w:val="32"/>
        </w:rPr>
        <w:br w:type="page"/>
      </w:r>
    </w:p>
    <w:p w14:paraId="1582C908">
      <w:pPr>
        <w:ind w:firstLine="640" w:firstLineChars="200"/>
        <w:rPr>
          <w:rFonts w:hint="eastAsia" w:ascii="仿宋" w:hAnsi="仿宋" w:eastAsia="仿宋" w:cs="仿宋"/>
          <w:sz w:val="32"/>
          <w:szCs w:val="32"/>
        </w:rPr>
      </w:pPr>
    </w:p>
    <w:p w14:paraId="7B48254F">
      <w:pPr>
        <w:ind w:firstLine="640" w:firstLineChars="200"/>
        <w:rPr>
          <w:rFonts w:hint="eastAsia" w:ascii="仿宋" w:hAnsi="仿宋" w:eastAsia="仿宋" w:cs="仿宋"/>
          <w:sz w:val="32"/>
          <w:szCs w:val="32"/>
        </w:rPr>
      </w:pPr>
    </w:p>
    <w:p w14:paraId="203179DF">
      <w:pPr>
        <w:spacing w:line="360" w:lineRule="auto"/>
        <w:rPr>
          <w:rFonts w:hint="eastAsia" w:ascii="微软雅黑" w:hAnsi="微软雅黑" w:eastAsia="微软雅黑"/>
          <w:b w:val="0"/>
          <w:bCs/>
          <w:szCs w:val="21"/>
          <w:lang w:val="en-US" w:eastAsia="zh-CN"/>
        </w:rPr>
      </w:pPr>
      <w:r>
        <w:rPr>
          <w:rFonts w:hint="eastAsia" w:ascii="微软雅黑" w:hAnsi="微软雅黑" w:eastAsia="微软雅黑"/>
          <w:b/>
          <w:szCs w:val="21"/>
          <w:lang w:val="en-US" w:eastAsia="zh-CN"/>
        </w:rPr>
        <w:t xml:space="preserve">                                       </w:t>
      </w:r>
      <w:r>
        <w:rPr>
          <w:rFonts w:hint="eastAsia" w:ascii="微软雅黑" w:hAnsi="微软雅黑" w:eastAsia="微软雅黑"/>
          <w:b w:val="0"/>
          <w:bCs/>
          <w:szCs w:val="21"/>
          <w:lang w:val="en-US" w:eastAsia="zh-CN"/>
        </w:rPr>
        <w:t xml:space="preserve">    </w:t>
      </w:r>
    </w:p>
    <w:p w14:paraId="1C8C5C73">
      <w:pPr>
        <w:spacing w:line="360" w:lineRule="auto"/>
        <w:rPr>
          <w:rFonts w:hint="eastAsia" w:ascii="微软雅黑" w:hAnsi="微软雅黑" w:eastAsia="微软雅黑"/>
          <w:b w:val="0"/>
          <w:bCs/>
          <w:szCs w:val="21"/>
          <w:lang w:val="en-US" w:eastAsia="zh-CN"/>
        </w:rPr>
      </w:pPr>
    </w:p>
    <w:p w14:paraId="7A4A88FE">
      <w:pPr>
        <w:spacing w:line="360" w:lineRule="auto"/>
        <w:ind w:firstLine="4500" w:firstLineChars="1500"/>
        <w:rPr>
          <w:rFonts w:hint="eastAsia" w:ascii="微软雅黑" w:hAnsi="微软雅黑" w:eastAsia="微软雅黑"/>
          <w:b w:val="0"/>
          <w:bCs/>
          <w:sz w:val="30"/>
          <w:szCs w:val="30"/>
          <w:lang w:val="en-US" w:eastAsia="zh-CN"/>
        </w:rPr>
      </w:pPr>
    </w:p>
    <w:p w14:paraId="09E05D49">
      <w:pPr>
        <w:spacing w:line="360" w:lineRule="auto"/>
        <w:ind w:firstLine="4500" w:firstLineChars="1500"/>
        <w:rPr>
          <w:rFonts w:hint="eastAsia" w:ascii="微软雅黑" w:hAnsi="微软雅黑" w:eastAsia="微软雅黑"/>
          <w:b/>
          <w:szCs w:val="21"/>
          <w:lang w:val="en-US" w:eastAsia="zh-CN"/>
        </w:rPr>
      </w:pPr>
      <w:r>
        <w:rPr>
          <w:rFonts w:hint="eastAsia" w:ascii="微软雅黑" w:hAnsi="微软雅黑" w:eastAsia="微软雅黑"/>
          <w:b w:val="0"/>
          <w:bCs/>
          <w:sz w:val="30"/>
          <w:szCs w:val="30"/>
          <w:lang w:val="en-US" w:eastAsia="zh-CN"/>
        </w:rPr>
        <w:t>官方网站        官方微信</w:t>
      </w:r>
    </w:p>
    <w:p w14:paraId="20D7A3B1">
      <w:pPr>
        <w:spacing w:line="360" w:lineRule="auto"/>
        <w:rPr>
          <w:rFonts w:hint="eastAsia" w:ascii="微软雅黑" w:hAnsi="微软雅黑" w:eastAsia="微软雅黑"/>
          <w:b/>
          <w:szCs w:val="21"/>
        </w:rPr>
      </w:pPr>
      <w:r>
        <w:rPr>
          <w:rFonts w:ascii="微软雅黑" w:hAnsi="微软雅黑" w:eastAsia="微软雅黑"/>
          <w:color w:val="000000"/>
          <w:szCs w:val="21"/>
        </w:rPr>
        <mc:AlternateContent>
          <mc:Choice Requires="wps">
            <w:drawing>
              <wp:anchor distT="0" distB="0" distL="114300" distR="114300" simplePos="0" relativeHeight="251663360" behindDoc="0" locked="0" layoutInCell="1" allowOverlap="1">
                <wp:simplePos x="0" y="0"/>
                <wp:positionH relativeFrom="column">
                  <wp:posOffset>-200025</wp:posOffset>
                </wp:positionH>
                <wp:positionV relativeFrom="paragraph">
                  <wp:posOffset>872490</wp:posOffset>
                </wp:positionV>
                <wp:extent cx="6157595"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615759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75pt;margin-top:68.7pt;height:0pt;width:484.85pt;z-index:251663360;mso-width-relative:page;mso-height-relative:page;" filled="f" stroked="t" coordsize="21600,21600" o:gfxdata="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D0ch1wAAAAsBAAAPAAAAAAAAAAEAIAAAACIAAABkcnMvZG93bnJldi54bWxQSwEC&#10;FAAUAAAACACHTuJADEfCzvUBAADkAwAADgAAAAAAAAABACAAAAAmAQAAZHJzL2Uyb0RvYy54bWxQ&#10;SwUGAAAAAAYABgBZAQAAjQUAAAAA&#10;">
                <v:fill on="f" focussize="0,0"/>
                <v:stroke color="#000000" joinstyle="round"/>
                <v:imagedata o:title=""/>
                <o:lock v:ext="edit" aspectratio="f"/>
              </v:line>
            </w:pict>
          </mc:Fallback>
        </mc:AlternateContent>
      </w:r>
      <w:r>
        <w:rPr>
          <w:rFonts w:hint="eastAsia" w:ascii="微软雅黑" w:hAnsi="微软雅黑" w:eastAsia="微软雅黑"/>
          <w:b/>
          <w:szCs w:val="21"/>
          <w:lang w:val="en-US" w:eastAsia="zh-CN"/>
        </w:rPr>
        <w:t xml:space="preserve">                                          </w:t>
      </w:r>
      <w:r>
        <w:rPr>
          <w:rFonts w:hint="eastAsia" w:ascii="微软雅黑" w:hAnsi="微软雅黑" w:eastAsia="微软雅黑"/>
          <w:b/>
          <w:szCs w:val="21"/>
        </w:rPr>
        <w:drawing>
          <wp:inline distT="0" distB="0" distL="114300" distR="114300">
            <wp:extent cx="925830" cy="932815"/>
            <wp:effectExtent l="0" t="0" r="7620" b="635"/>
            <wp:docPr id="4" name="图片 1" descr="网站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网站二维码"/>
                    <pic:cNvPicPr>
                      <a:picLocks noChangeAspect="1"/>
                    </pic:cNvPicPr>
                  </pic:nvPicPr>
                  <pic:blipFill>
                    <a:blip r:embed="rId15"/>
                    <a:stretch>
                      <a:fillRect/>
                    </a:stretch>
                  </pic:blipFill>
                  <pic:spPr>
                    <a:xfrm>
                      <a:off x="0" y="0"/>
                      <a:ext cx="925830" cy="932815"/>
                    </a:xfrm>
                    <a:prstGeom prst="rect">
                      <a:avLst/>
                    </a:prstGeom>
                    <a:noFill/>
                    <a:ln>
                      <a:noFill/>
                    </a:ln>
                  </pic:spPr>
                </pic:pic>
              </a:graphicData>
            </a:graphic>
          </wp:inline>
        </w:drawing>
      </w:r>
      <w:r>
        <w:rPr>
          <w:rFonts w:hint="eastAsia" w:ascii="微软雅黑" w:hAnsi="微软雅黑" w:eastAsia="微软雅黑"/>
          <w:b/>
          <w:szCs w:val="21"/>
          <w:lang w:val="en-US" w:eastAsia="zh-CN"/>
        </w:rPr>
        <w:t xml:space="preserve">          </w:t>
      </w:r>
      <w:r>
        <w:rPr>
          <w:rFonts w:hint="eastAsia" w:ascii="微软雅黑" w:hAnsi="微软雅黑" w:eastAsia="微软雅黑"/>
          <w:b/>
          <w:szCs w:val="21"/>
        </w:rPr>
        <w:drawing>
          <wp:inline distT="0" distB="0" distL="114300" distR="114300">
            <wp:extent cx="838835" cy="838835"/>
            <wp:effectExtent l="0" t="0" r="18415" b="18415"/>
            <wp:docPr id="5" name="图片 2" descr="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二维码"/>
                    <pic:cNvPicPr>
                      <a:picLocks noChangeAspect="1"/>
                    </pic:cNvPicPr>
                  </pic:nvPicPr>
                  <pic:blipFill>
                    <a:blip r:embed="rId16"/>
                    <a:stretch>
                      <a:fillRect/>
                    </a:stretch>
                  </pic:blipFill>
                  <pic:spPr>
                    <a:xfrm>
                      <a:off x="0" y="0"/>
                      <a:ext cx="838835" cy="838835"/>
                    </a:xfrm>
                    <a:prstGeom prst="rect">
                      <a:avLst/>
                    </a:prstGeom>
                    <a:noFill/>
                    <a:ln>
                      <a:noFill/>
                    </a:ln>
                  </pic:spPr>
                </pic:pic>
              </a:graphicData>
            </a:graphic>
          </wp:inline>
        </w:drawing>
      </w:r>
      <w:r>
        <w:rPr>
          <w:rFonts w:hint="eastAsia" w:ascii="微软雅黑" w:hAnsi="微软雅黑" w:eastAsia="微软雅黑"/>
          <w:b/>
          <w:szCs w:val="21"/>
          <w:lang w:val="en-US" w:eastAsia="zh-CN"/>
        </w:rPr>
        <w:t xml:space="preserve">  </w:t>
      </w:r>
      <w:r>
        <w:rPr>
          <w:rFonts w:hint="eastAsia" w:ascii="微软雅黑" w:hAnsi="微软雅黑" w:eastAsia="微软雅黑"/>
          <w:b/>
          <w:szCs w:val="21"/>
        </w:rPr>
        <w:t xml:space="preserve">  </w:t>
      </w:r>
      <w:r>
        <w:rPr>
          <w:rFonts w:hint="eastAsia" w:ascii="微软雅黑" w:hAnsi="微软雅黑" w:eastAsia="微软雅黑"/>
          <w:b/>
          <w:szCs w:val="21"/>
          <w:lang w:val="en-US" w:eastAsia="zh-CN"/>
        </w:rPr>
        <w:t xml:space="preserve"> </w:t>
      </w:r>
    </w:p>
    <w:p w14:paraId="41008328">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both"/>
        <w:textAlignment w:val="auto"/>
        <w:outlineLvl w:val="9"/>
        <w:rPr>
          <w:rFonts w:ascii="宋体" w:hAnsi="宋体"/>
          <w:color w:val="000000"/>
          <w:szCs w:val="21"/>
        </w:rPr>
      </w:pPr>
      <w:r>
        <w:rPr>
          <w:rFonts w:ascii="宋体" w:hAnsi="宋体"/>
          <w:color w:val="000000"/>
          <w:szCs w:val="21"/>
        </w:rPr>
        <w:t>中国技术市场</w:t>
      </w:r>
      <w:r>
        <w:rPr>
          <w:rFonts w:hint="eastAsia" w:ascii="宋体" w:hAnsi="宋体"/>
          <w:color w:val="000000"/>
          <w:szCs w:val="21"/>
          <w:lang w:val="en-US" w:eastAsia="zh-CN"/>
        </w:rPr>
        <w:t>协会</w:t>
      </w:r>
      <w:r>
        <w:rPr>
          <w:rFonts w:hint="eastAsia" w:ascii="宋体" w:hAnsi="宋体"/>
          <w:color w:val="000000"/>
          <w:szCs w:val="21"/>
          <w:lang w:eastAsia="zh-CN"/>
        </w:rPr>
        <w:t>办公室</w:t>
      </w:r>
      <w:r>
        <w:rPr>
          <w:rFonts w:hint="eastAsia" w:ascii="宋体" w:hAnsi="宋体"/>
          <w:color w:val="000000"/>
          <w:szCs w:val="21"/>
        </w:rPr>
        <w:t xml:space="preserve">    </w:t>
      </w:r>
      <w:r>
        <w:rPr>
          <w:rFonts w:hint="eastAsia" w:ascii="宋体" w:hAnsi="宋体"/>
          <w:color w:val="000000"/>
          <w:szCs w:val="21"/>
          <w:lang w:val="en-US" w:eastAsia="zh-CN"/>
        </w:rPr>
        <w:t xml:space="preserve">  微信公众号：中国技术市场协会</w:t>
      </w:r>
      <w:r>
        <w:rPr>
          <w:rFonts w:hint="eastAsia" w:ascii="宋体" w:hAnsi="宋体"/>
          <w:color w:val="000000"/>
          <w:szCs w:val="21"/>
        </w:rPr>
        <w:t xml:space="preserve">   </w:t>
      </w:r>
    </w:p>
    <w:p w14:paraId="27BBE54C">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both"/>
        <w:textAlignment w:val="auto"/>
        <w:outlineLvl w:val="9"/>
        <w:rPr>
          <w:rFonts w:ascii="宋体" w:hAnsi="宋体"/>
          <w:color w:val="000000"/>
          <w:szCs w:val="21"/>
        </w:rPr>
      </w:pPr>
      <w:r>
        <w:rPr>
          <w:rFonts w:ascii="宋体" w:hAnsi="宋体"/>
          <w:color w:val="000000"/>
          <w:spacing w:val="-4"/>
          <w:szCs w:val="21"/>
        </w:rPr>
        <w:t>地址：北京</w:t>
      </w:r>
      <w:r>
        <w:rPr>
          <w:rFonts w:hint="eastAsia" w:ascii="宋体" w:hAnsi="宋体"/>
          <w:color w:val="000000"/>
          <w:spacing w:val="-4"/>
          <w:szCs w:val="21"/>
        </w:rPr>
        <w:t>市</w:t>
      </w:r>
      <w:r>
        <w:rPr>
          <w:rFonts w:hint="eastAsia" w:ascii="宋体" w:hAnsi="宋体"/>
          <w:color w:val="000000"/>
          <w:spacing w:val="-4"/>
          <w:szCs w:val="21"/>
          <w:lang w:val="en-US" w:eastAsia="zh-CN"/>
        </w:rPr>
        <w:t>丰台区万丰路68号银座和谐大厦1101</w:t>
      </w:r>
      <w:r>
        <w:rPr>
          <w:rFonts w:hint="eastAsia" w:ascii="宋体" w:hAnsi="宋体"/>
          <w:color w:val="000000"/>
          <w:spacing w:val="-4"/>
          <w:szCs w:val="21"/>
        </w:rPr>
        <w:t xml:space="preserve"> </w:t>
      </w:r>
      <w:r>
        <w:rPr>
          <w:rFonts w:hint="eastAsia" w:ascii="宋体" w:hAnsi="宋体"/>
          <w:color w:val="000000"/>
          <w:spacing w:val="-4"/>
          <w:szCs w:val="21"/>
          <w:lang w:val="en-US" w:eastAsia="zh-CN"/>
        </w:rPr>
        <w:t xml:space="preserve">   </w:t>
      </w:r>
      <w:r>
        <w:rPr>
          <w:rFonts w:ascii="宋体" w:hAnsi="宋体"/>
          <w:color w:val="000000"/>
          <w:szCs w:val="21"/>
        </w:rPr>
        <w:t>邮编：1000</w:t>
      </w:r>
      <w:r>
        <w:rPr>
          <w:rFonts w:hint="eastAsia" w:ascii="宋体" w:hAnsi="宋体"/>
          <w:color w:val="000000"/>
          <w:szCs w:val="21"/>
        </w:rPr>
        <w:t>36</w:t>
      </w:r>
      <w:r>
        <w:rPr>
          <w:rFonts w:ascii="宋体" w:hAnsi="宋体"/>
          <w:color w:val="000000"/>
          <w:szCs w:val="21"/>
        </w:rPr>
        <w:t xml:space="preserve"> </w:t>
      </w:r>
    </w:p>
    <w:p w14:paraId="7BA6775F">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both"/>
        <w:textAlignment w:val="auto"/>
        <w:outlineLvl w:val="9"/>
        <w:rPr>
          <w:rFonts w:ascii="宋体" w:hAnsi="宋体"/>
          <w:color w:val="000000"/>
          <w:szCs w:val="21"/>
        </w:rPr>
      </w:pPr>
      <w:r>
        <w:rPr>
          <w:rFonts w:ascii="宋体" w:hAnsi="宋体"/>
          <w:color w:val="000000"/>
          <w:szCs w:val="21"/>
        </w:rPr>
        <w:t>电话：（010） 68270506</w:t>
      </w:r>
      <w:r>
        <w:rPr>
          <w:rFonts w:hint="eastAsia" w:ascii="宋体" w:hAnsi="宋体"/>
          <w:color w:val="000000"/>
          <w:szCs w:val="21"/>
          <w:lang w:val="en-US" w:eastAsia="zh-CN"/>
        </w:rPr>
        <w:t xml:space="preserve">      </w:t>
      </w:r>
      <w:r>
        <w:rPr>
          <w:rFonts w:ascii="宋体" w:hAnsi="宋体"/>
          <w:color w:val="000000"/>
          <w:szCs w:val="21"/>
        </w:rPr>
        <w:t>传真：（010）68270453</w:t>
      </w:r>
    </w:p>
    <w:p w14:paraId="366A97B6">
      <w:pPr>
        <w:keepNext w:val="0"/>
        <w:keepLines w:val="0"/>
        <w:pageBreakBefore w:val="0"/>
        <w:widowControl w:val="0"/>
        <w:kinsoku/>
        <w:wordWrap/>
        <w:overflowPunct/>
        <w:autoSpaceDE/>
        <w:autoSpaceDN/>
        <w:bidi w:val="0"/>
        <w:spacing w:line="360" w:lineRule="exact"/>
        <w:ind w:left="0" w:leftChars="0" w:right="0" w:rightChars="0" w:firstLine="0" w:firstLineChars="0"/>
        <w:jc w:val="both"/>
        <w:textAlignment w:val="auto"/>
        <w:outlineLvl w:val="9"/>
        <w:rPr>
          <w:rFonts w:ascii="微软雅黑" w:hAnsi="微软雅黑" w:eastAsia="微软雅黑"/>
          <w:szCs w:val="21"/>
        </w:rPr>
      </w:pPr>
      <w:r>
        <w:rPr>
          <w:rFonts w:ascii="宋体" w:hAnsi="宋体"/>
          <w:szCs w:val="21"/>
        </w:rPr>
        <w:t>电子邮箱：</w:t>
      </w:r>
      <w:r>
        <w:rPr>
          <w:rFonts w:ascii="宋体" w:hAnsi="宋体"/>
        </w:rPr>
        <w:fldChar w:fldCharType="begin"/>
      </w:r>
      <w:r>
        <w:rPr>
          <w:rFonts w:ascii="宋体" w:hAnsi="宋体"/>
        </w:rPr>
        <w:instrText xml:space="preserve">HYPERLINK "mailto:tmacxh@126.com"</w:instrText>
      </w:r>
      <w:r>
        <w:rPr>
          <w:rFonts w:ascii="宋体" w:hAnsi="宋体"/>
        </w:rPr>
        <w:fldChar w:fldCharType="separate"/>
      </w:r>
      <w:r>
        <w:rPr>
          <w:rFonts w:ascii="宋体" w:hAnsi="宋体"/>
          <w:color w:val="000000"/>
          <w:spacing w:val="-4"/>
          <w:szCs w:val="21"/>
        </w:rPr>
        <w:t>tmac</w:t>
      </w:r>
      <w:r>
        <w:rPr>
          <w:rFonts w:hint="eastAsia" w:ascii="宋体" w:hAnsi="宋体"/>
          <w:color w:val="000000"/>
          <w:spacing w:val="-4"/>
          <w:szCs w:val="21"/>
        </w:rPr>
        <w:t>xh</w:t>
      </w:r>
      <w:r>
        <w:rPr>
          <w:rFonts w:ascii="宋体" w:hAnsi="宋体"/>
          <w:color w:val="000000"/>
          <w:spacing w:val="-4"/>
          <w:szCs w:val="21"/>
        </w:rPr>
        <w:t>@</w:t>
      </w:r>
      <w:r>
        <w:rPr>
          <w:rFonts w:hint="eastAsia" w:ascii="宋体" w:hAnsi="宋体"/>
          <w:color w:val="000000"/>
          <w:spacing w:val="-4"/>
          <w:szCs w:val="21"/>
        </w:rPr>
        <w:t>126.com</w:t>
      </w:r>
      <w:r>
        <w:rPr>
          <w:rFonts w:ascii="宋体" w:hAnsi="宋体"/>
        </w:rPr>
        <w:fldChar w:fldCharType="end"/>
      </w:r>
      <w:r>
        <w:rPr>
          <w:rFonts w:hint="eastAsia" w:ascii="宋体" w:hAnsi="宋体"/>
          <w:color w:val="000000"/>
          <w:spacing w:val="-4"/>
          <w:szCs w:val="21"/>
        </w:rPr>
        <w:t xml:space="preserve">    网址：http://www.ctm.org.cn</w:t>
      </w:r>
    </w:p>
    <w:p w14:paraId="1739D7CA">
      <w:pPr>
        <w:ind w:firstLine="640" w:firstLineChars="200"/>
        <w:rPr>
          <w:rFonts w:hint="eastAsia" w:ascii="仿宋" w:hAnsi="仿宋" w:eastAsia="仿宋" w:cs="仿宋"/>
          <w:sz w:val="32"/>
          <w:szCs w:val="32"/>
        </w:rPr>
      </w:pPr>
    </w:p>
    <w:p w14:paraId="752F71C7">
      <w:pPr>
        <w:rPr>
          <w:rFonts w:hint="eastAsia" w:ascii="仿宋" w:hAnsi="仿宋" w:eastAsia="仿宋" w:cs="仿宋"/>
          <w:sz w:val="32"/>
          <w:szCs w:val="32"/>
          <w:lang w:val="en-US" w:eastAsia="zh-CN"/>
        </w:rPr>
      </w:pPr>
      <w:r>
        <w:rPr>
          <w:rFonts w:hint="eastAsia" w:ascii="仿宋" w:hAnsi="仿宋" w:eastAsia="仿宋" w:cs="仿宋"/>
          <w:sz w:val="32"/>
          <w:szCs w:val="32"/>
        </w:rPr>
        <w:t> </w:t>
      </w:r>
    </w:p>
    <w:sectPr>
      <w:head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937339-A9D6-47AE-BA60-52E3E284F0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9B5BD7B0-58EB-4F57-B353-BADCBFCED3E3}"/>
  </w:font>
  <w:font w:name="楷体_GB2312">
    <w:altName w:val="楷体"/>
    <w:panose1 w:val="02010609030101010101"/>
    <w:charset w:val="86"/>
    <w:family w:val="modern"/>
    <w:pitch w:val="default"/>
    <w:sig w:usb0="00000000" w:usb1="00000000" w:usb2="00000000" w:usb3="00000000" w:csb0="00040000" w:csb1="00000000"/>
    <w:embedRegular r:id="rId3" w:fontKey="{3FC1F176-035F-489B-A6AF-AE8A88AB8F92}"/>
  </w:font>
  <w:font w:name="华文行楷">
    <w:panose1 w:val="02010800040101010101"/>
    <w:charset w:val="86"/>
    <w:family w:val="auto"/>
    <w:pitch w:val="default"/>
    <w:sig w:usb0="00000001" w:usb1="080F0000" w:usb2="00000000" w:usb3="00000000" w:csb0="00040000" w:csb1="00000000"/>
    <w:embedRegular r:id="rId4" w:fontKey="{4986FDA3-978E-4B48-9108-E3A0012B06A6}"/>
  </w:font>
  <w:font w:name="微软雅黑">
    <w:panose1 w:val="020B0503020204020204"/>
    <w:charset w:val="86"/>
    <w:family w:val="auto"/>
    <w:pitch w:val="default"/>
    <w:sig w:usb0="80000287" w:usb1="2ACF3C50" w:usb2="00000016" w:usb3="00000000" w:csb0="0004001F" w:csb1="00000000"/>
    <w:embedRegular r:id="rId5" w:fontKey="{1C98BDC1-B961-4230-B4AE-34B2D1C431F2}"/>
  </w:font>
  <w:font w:name="方正仿宋_GB2312">
    <w:panose1 w:val="02000000000000000000"/>
    <w:charset w:val="86"/>
    <w:family w:val="auto"/>
    <w:pitch w:val="default"/>
    <w:sig w:usb0="A00002BF" w:usb1="184F6CFA" w:usb2="00000012" w:usb3="00000000" w:csb0="00040001" w:csb1="00000000"/>
    <w:embedRegular r:id="rId6" w:fontKey="{1A63B479-5D96-4548-9EFF-E6EF08857DD3}"/>
  </w:font>
  <w:font w:name="Cambria">
    <w:panose1 w:val="02040503050406030204"/>
    <w:charset w:val="00"/>
    <w:family w:val="roman"/>
    <w:pitch w:val="default"/>
    <w:sig w:usb0="E00006FF" w:usb1="420024FF" w:usb2="02000000" w:usb3="00000000" w:csb0="2000019F" w:csb1="00000000"/>
    <w:embedRegular r:id="rId7" w:fontKey="{F6655703-66A0-451B-9EF8-D5FCFF745C2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CB71">
    <w:pPr>
      <w:pStyle w:val="8"/>
      <w:rPr>
        <w:sz w:val="18"/>
      </w:rPr>
    </w:pPr>
  </w:p>
  <w:p w14:paraId="31CB8E7F">
    <w:pPr>
      <w:pStyle w:val="8"/>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20CC0">
    <w:pPr>
      <w:pStyle w:val="8"/>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778510" cy="506730"/>
              <wp:effectExtent l="0" t="0" r="2540" b="7620"/>
              <wp:wrapNone/>
              <wp:docPr id="7" name="矩形 7"/>
              <wp:cNvGraphicFramePr/>
              <a:graphic xmlns:a="http://schemas.openxmlformats.org/drawingml/2006/main">
                <a:graphicData uri="http://schemas.microsoft.com/office/word/2010/wordprocessingShape">
                  <wps:wsp>
                    <wps:cNvSpPr/>
                    <wps:spPr>
                      <a:xfrm>
                        <a:off x="4525010" y="9946005"/>
                        <a:ext cx="778510" cy="506730"/>
                      </a:xfrm>
                      <a:prstGeom prst="rect">
                        <a:avLst/>
                      </a:prstGeom>
                      <a:solidFill>
                        <a:schemeClr val="bg1"/>
                      </a:solidFill>
                      <a:ln w="1270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14:paraId="3288E562">
                          <w:pPr>
                            <w:jc w:val="center"/>
                            <w:rPr>
                              <w:rFonts w:hint="eastAsia" w:ascii="黑体" w:hAnsi="黑体" w:eastAsia="黑体" w:cs="黑体"/>
                              <w:b w:val="0"/>
                              <w:bCs w:val="0"/>
                              <w:color w:val="FFFFFF" w:themeColor="background1"/>
                              <w:sz w:val="18"/>
                              <w:szCs w:val="21"/>
                              <w:lang w:eastAsia="zh-CN"/>
                              <w14:textFill>
                                <w14:solidFill>
                                  <w14:schemeClr w14:val="bg1"/>
                                </w14:solidFill>
                              </w14:textFill>
                            </w:rPr>
                          </w:pPr>
                          <w:r>
                            <w:rPr>
                              <w:rFonts w:hint="eastAsia" w:ascii="黑体" w:hAnsi="黑体" w:eastAsia="黑体" w:cs="黑体"/>
                              <w:b w:val="0"/>
                              <w:bCs w:val="0"/>
                              <w:color w:val="000000" w:themeColor="text1"/>
                              <w:sz w:val="18"/>
                              <w:szCs w:val="21"/>
                              <w:lang w:eastAsia="zh-CN"/>
                              <w14:textFill>
                                <w14:solidFill>
                                  <w14:schemeClr w14:val="tx1"/>
                                </w14:solidFill>
                              </w14:textFill>
                            </w:rPr>
                            <w:t xml:space="preserve">第 </w: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begin"/>
                          </w:r>
                          <w:r>
                            <w:rPr>
                              <w:rFonts w:hint="eastAsia" w:ascii="黑体" w:hAnsi="黑体" w:eastAsia="黑体" w:cs="黑体"/>
                              <w:b w:val="0"/>
                              <w:bCs w:val="0"/>
                              <w:color w:val="000000" w:themeColor="text1"/>
                              <w:sz w:val="18"/>
                              <w:szCs w:val="21"/>
                              <w:lang w:eastAsia="zh-CN"/>
                              <w14:textFill>
                                <w14:solidFill>
                                  <w14:schemeClr w14:val="tx1"/>
                                </w14:solidFill>
                              </w14:textFill>
                            </w:rPr>
                            <w:instrText xml:space="preserve"> PAGE  \* MERGEFORMAT </w:instrTex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separate"/>
                          </w:r>
                          <w:r>
                            <w:rPr>
                              <w:rFonts w:hint="eastAsia" w:ascii="黑体" w:hAnsi="黑体" w:eastAsia="黑体" w:cs="黑体"/>
                              <w:b w:val="0"/>
                              <w:bCs w:val="0"/>
                              <w:color w:val="000000" w:themeColor="text1"/>
                              <w:sz w:val="18"/>
                              <w:szCs w:val="21"/>
                              <w:lang w:eastAsia="zh-CN"/>
                              <w14:textFill>
                                <w14:solidFill>
                                  <w14:schemeClr w14:val="tx1"/>
                                </w14:solidFill>
                              </w14:textFill>
                            </w:rPr>
                            <w:t>1</w: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end"/>
                          </w:r>
                          <w:r>
                            <w:rPr>
                              <w:rFonts w:hint="eastAsia" w:ascii="黑体" w:hAnsi="黑体" w:eastAsia="黑体" w:cs="黑体"/>
                              <w:b w:val="0"/>
                              <w:bCs w:val="0"/>
                              <w:color w:val="000000" w:themeColor="text1"/>
                              <w:sz w:val="18"/>
                              <w:szCs w:val="21"/>
                              <w:lang w:eastAsia="zh-CN"/>
                              <w14:textFill>
                                <w14:solidFill>
                                  <w14:schemeClr w14:val="tx1"/>
                                </w14:solidFill>
                              </w14:textFill>
                            </w:rPr>
                            <w:t xml:space="preserve"> 页</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66.9pt;margin-top:785.65pt;height:39.9pt;width:61.3pt;mso-position-horizontal-relative:page;mso-position-vertical-relative:page;z-index:251661312;v-text-anchor:middle;mso-width-relative:page;mso-height-relative:page;" fillcolor="#FFFFFF [3212]" filled="t" stroked="f" coordsize="21600,21600" o:gfxdata="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SyS9HVAAAABAEAAA8AAAAAAAAAAQAgAAAAIgAAAGRycy9kb3du&#10;cmV2LnhtbFBLAQIUABQAAAAIAIdO4kCFbL7qdAIAANAEAAAOAAAAAAAAAAEAIAAAACQBAABkcnMv&#10;ZTJvRG9jLnhtbFBLBQYAAAAABgAGAFkBAAAKBgAAAAA=&#10;">
              <v:fill on="t" focussize="0,0"/>
              <v:stroke on="f" weight="1pt" miterlimit="8" joinstyle="miter" dashstyle="dash"/>
              <v:imagedata o:title=""/>
              <o:lock v:ext="edit" aspectratio="f"/>
              <v:textbox inset="0mm,0mm,0mm,0mm">
                <w:txbxContent>
                  <w:p w14:paraId="3288E562">
                    <w:pPr>
                      <w:jc w:val="center"/>
                      <w:rPr>
                        <w:rFonts w:hint="eastAsia" w:ascii="黑体" w:hAnsi="黑体" w:eastAsia="黑体" w:cs="黑体"/>
                        <w:b w:val="0"/>
                        <w:bCs w:val="0"/>
                        <w:color w:val="FFFFFF" w:themeColor="background1"/>
                        <w:sz w:val="18"/>
                        <w:szCs w:val="21"/>
                        <w:lang w:eastAsia="zh-CN"/>
                        <w14:textFill>
                          <w14:solidFill>
                            <w14:schemeClr w14:val="bg1"/>
                          </w14:solidFill>
                        </w14:textFill>
                      </w:rPr>
                    </w:pPr>
                    <w:r>
                      <w:rPr>
                        <w:rFonts w:hint="eastAsia" w:ascii="黑体" w:hAnsi="黑体" w:eastAsia="黑体" w:cs="黑体"/>
                        <w:b w:val="0"/>
                        <w:bCs w:val="0"/>
                        <w:color w:val="000000" w:themeColor="text1"/>
                        <w:sz w:val="18"/>
                        <w:szCs w:val="21"/>
                        <w:lang w:eastAsia="zh-CN"/>
                        <w14:textFill>
                          <w14:solidFill>
                            <w14:schemeClr w14:val="tx1"/>
                          </w14:solidFill>
                        </w14:textFill>
                      </w:rPr>
                      <w:t xml:space="preserve">第 </w: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begin"/>
                    </w:r>
                    <w:r>
                      <w:rPr>
                        <w:rFonts w:hint="eastAsia" w:ascii="黑体" w:hAnsi="黑体" w:eastAsia="黑体" w:cs="黑体"/>
                        <w:b w:val="0"/>
                        <w:bCs w:val="0"/>
                        <w:color w:val="000000" w:themeColor="text1"/>
                        <w:sz w:val="18"/>
                        <w:szCs w:val="21"/>
                        <w:lang w:eastAsia="zh-CN"/>
                        <w14:textFill>
                          <w14:solidFill>
                            <w14:schemeClr w14:val="tx1"/>
                          </w14:solidFill>
                        </w14:textFill>
                      </w:rPr>
                      <w:instrText xml:space="preserve"> PAGE  \* MERGEFORMAT </w:instrTex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separate"/>
                    </w:r>
                    <w:r>
                      <w:rPr>
                        <w:rFonts w:hint="eastAsia" w:ascii="黑体" w:hAnsi="黑体" w:eastAsia="黑体" w:cs="黑体"/>
                        <w:b w:val="0"/>
                        <w:bCs w:val="0"/>
                        <w:color w:val="000000" w:themeColor="text1"/>
                        <w:sz w:val="18"/>
                        <w:szCs w:val="21"/>
                        <w:lang w:eastAsia="zh-CN"/>
                        <w14:textFill>
                          <w14:solidFill>
                            <w14:schemeClr w14:val="tx1"/>
                          </w14:solidFill>
                        </w14:textFill>
                      </w:rPr>
                      <w:t>1</w:t>
                    </w:r>
                    <w:r>
                      <w:rPr>
                        <w:rFonts w:hint="eastAsia" w:ascii="黑体" w:hAnsi="黑体" w:eastAsia="黑体" w:cs="黑体"/>
                        <w:b w:val="0"/>
                        <w:bCs w:val="0"/>
                        <w:color w:val="000000" w:themeColor="text1"/>
                        <w:sz w:val="18"/>
                        <w:szCs w:val="21"/>
                        <w:lang w:eastAsia="zh-CN"/>
                        <w14:textFill>
                          <w14:solidFill>
                            <w14:schemeClr w14:val="tx1"/>
                          </w14:solidFill>
                        </w14:textFill>
                      </w:rPr>
                      <w:fldChar w:fldCharType="end"/>
                    </w:r>
                    <w:r>
                      <w:rPr>
                        <w:rFonts w:hint="eastAsia" w:ascii="黑体" w:hAnsi="黑体" w:eastAsia="黑体" w:cs="黑体"/>
                        <w:b w:val="0"/>
                        <w:bCs w:val="0"/>
                        <w:color w:val="000000" w:themeColor="text1"/>
                        <w:sz w:val="18"/>
                        <w:szCs w:val="21"/>
                        <w:lang w:eastAsia="zh-CN"/>
                        <w14:textFill>
                          <w14:solidFill>
                            <w14:schemeClr w14:val="tx1"/>
                          </w14:solidFill>
                        </w14:textFill>
                      </w:rPr>
                      <w:t xml:space="preserve"> 页</w:t>
                    </w:r>
                  </w:p>
                </w:txbxContent>
              </v:textbox>
            </v:rect>
          </w:pict>
        </mc:Fallback>
      </mc:AlternateContent>
    </w:r>
  </w:p>
  <w:p w14:paraId="33F815E0">
    <w:pPr>
      <w:pStyle w:val="8"/>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6F1C9">
    <w:pPr>
      <w:pStyle w:val="9"/>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975985"/>
          <wp:effectExtent l="0" t="0" r="0" b="0"/>
          <wp:wrapNone/>
          <wp:docPr id="2" name="WordPictureWatermark200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0086" descr="logo"/>
                  <pic:cNvPicPr>
                    <a:picLocks noChangeAspect="1"/>
                  </pic:cNvPicPr>
                </pic:nvPicPr>
                <pic:blipFill>
                  <a:blip r:embed="rId1">
                    <a:lum bright="69998" contrast="-70001"/>
                  </a:blip>
                  <a:stretch>
                    <a:fillRect/>
                  </a:stretch>
                </pic:blipFill>
                <pic:spPr>
                  <a:xfrm>
                    <a:off x="0" y="0"/>
                    <a:ext cx="5274310" cy="59759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B70A1">
    <w:pPr>
      <w:pStyle w:val="9"/>
      <w:pBdr>
        <w:bottom w:val="thickThinSmallGap" w:color="622423" w:sz="24" w:space="1"/>
      </w:pBdr>
      <w:ind w:firstLine="2420" w:firstLineChars="1100"/>
      <w:rPr>
        <w:rFonts w:ascii="Cambria" w:hAnsi="Cambria"/>
        <w:sz w:val="22"/>
        <w:szCs w:val="22"/>
      </w:rPr>
    </w:pPr>
    <w:r>
      <w:rPr>
        <w:rFonts w:hint="eastAsia" w:ascii="Cambria" w:hAnsi="Cambria"/>
        <w:sz w:val="22"/>
        <w:szCs w:val="22"/>
      </w:rPr>
      <w:t>中国技术市场协会</w:t>
    </w:r>
    <w:r>
      <w:rPr>
        <w:rFonts w:hint="eastAsia" w:ascii="Cambria" w:hAnsi="Cambria"/>
        <w:sz w:val="22"/>
        <w:szCs w:val="22"/>
        <w:lang w:val="en-US" w:eastAsia="zh-CN"/>
      </w:rPr>
      <w:t xml:space="preserve">·国内时事 </w:t>
    </w:r>
  </w:p>
  <w:p w14:paraId="459BDAA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B299D">
    <w:pPr>
      <w:pStyle w:val="9"/>
      <w:pBdr>
        <w:bottom w:val="thickThinSmallGap" w:color="622423" w:sz="24" w:space="1"/>
      </w:pBdr>
      <w:ind w:firstLine="2640" w:firstLineChars="1200"/>
      <w:rPr>
        <w:rFonts w:hint="default" w:ascii="Cambria" w:hAnsi="Cambria"/>
        <w:sz w:val="22"/>
        <w:szCs w:val="22"/>
        <w:lang w:val="en-US"/>
      </w:rPr>
    </w:pPr>
    <w:r>
      <w:rPr>
        <w:rFonts w:hint="eastAsia" w:ascii="Cambria" w:hAnsi="Cambria"/>
        <w:sz w:val="22"/>
        <w:szCs w:val="22"/>
      </w:rPr>
      <w:t>中国技术市场协会</w:t>
    </w:r>
    <w:r>
      <w:rPr>
        <w:rFonts w:hint="eastAsia" w:ascii="Cambria" w:hAnsi="Cambria"/>
        <w:sz w:val="22"/>
        <w:szCs w:val="22"/>
        <w:lang w:val="en-US" w:eastAsia="zh-CN"/>
      </w:rPr>
      <w:t>·协会动态</w:t>
    </w:r>
  </w:p>
  <w:p w14:paraId="1C3F1DD1">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EC5C">
    <w:pPr>
      <w:pStyle w:val="9"/>
      <w:pBdr>
        <w:bottom w:val="thickThinSmallGap" w:color="622423" w:sz="24" w:space="1"/>
      </w:pBdr>
      <w:ind w:firstLine="2420" w:firstLineChars="1100"/>
      <w:rPr>
        <w:rFonts w:hint="default" w:ascii="Cambria" w:hAnsi="Cambria" w:eastAsia="宋体"/>
        <w:sz w:val="22"/>
        <w:szCs w:val="22"/>
        <w:lang w:val="en-US" w:eastAsia="zh-CN"/>
      </w:rPr>
    </w:pPr>
    <w:r>
      <w:rPr>
        <w:rFonts w:hint="eastAsia" w:ascii="Cambria" w:hAnsi="Cambria"/>
        <w:sz w:val="22"/>
        <w:szCs w:val="22"/>
      </w:rPr>
      <w:t>中国技术市场协会</w:t>
    </w:r>
    <w:r>
      <w:rPr>
        <w:rFonts w:hint="eastAsia" w:ascii="Cambria" w:hAnsi="Cambria"/>
        <w:sz w:val="22"/>
        <w:szCs w:val="22"/>
        <w:lang w:val="en-US" w:eastAsia="zh-CN"/>
      </w:rPr>
      <w:t>·会员之窗</w:t>
    </w:r>
  </w:p>
  <w:p w14:paraId="0592983D">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DF355"/>
    <w:multiLevelType w:val="singleLevel"/>
    <w:tmpl w:val="879DF355"/>
    <w:lvl w:ilvl="0" w:tentative="0">
      <w:start w:val="1"/>
      <w:numFmt w:val="bullet"/>
      <w:lvlText w:val=""/>
      <w:lvlJc w:val="left"/>
      <w:pPr>
        <w:ind w:left="420" w:hanging="420"/>
      </w:pPr>
      <w:rPr>
        <w:rFonts w:hint="default" w:ascii="Wingdings" w:hAnsi="Wingdings"/>
      </w:rPr>
    </w:lvl>
  </w:abstractNum>
  <w:abstractNum w:abstractNumId="1">
    <w:nsid w:val="D9BE6AE6"/>
    <w:multiLevelType w:val="singleLevel"/>
    <w:tmpl w:val="D9BE6AE6"/>
    <w:lvl w:ilvl="0" w:tentative="0">
      <w:start w:val="1"/>
      <w:numFmt w:val="bullet"/>
      <w:lvlText w:val=""/>
      <w:lvlJc w:val="left"/>
      <w:pPr>
        <w:ind w:left="420" w:hanging="420"/>
      </w:pPr>
      <w:rPr>
        <w:rFonts w:hint="default" w:ascii="Wingdings" w:hAnsi="Wingdings"/>
      </w:rPr>
    </w:lvl>
  </w:abstractNum>
  <w:abstractNum w:abstractNumId="2">
    <w:nsid w:val="EF091AE8"/>
    <w:multiLevelType w:val="singleLevel"/>
    <w:tmpl w:val="EF091AE8"/>
    <w:lvl w:ilvl="0" w:tentative="0">
      <w:start w:val="1"/>
      <w:numFmt w:val="bullet"/>
      <w:lvlText w:val=""/>
      <w:lvlJc w:val="left"/>
      <w:pPr>
        <w:ind w:left="420" w:hanging="420"/>
      </w:pPr>
      <w:rPr>
        <w:rFonts w:hint="default" w:ascii="Wingdings" w:hAnsi="Wingdings"/>
      </w:rPr>
    </w:lvl>
  </w:abstractNum>
  <w:abstractNum w:abstractNumId="3">
    <w:nsid w:val="1BB7E2BC"/>
    <w:multiLevelType w:val="singleLevel"/>
    <w:tmpl w:val="1BB7E2BC"/>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mMjVlOTA4MjliZmIzODFkMzI3OGU2M2EwNDM1YWEifQ=="/>
  </w:docVars>
  <w:rsids>
    <w:rsidRoot w:val="059D27A8"/>
    <w:rsid w:val="0221340D"/>
    <w:rsid w:val="02637E80"/>
    <w:rsid w:val="059D27A8"/>
    <w:rsid w:val="068F0BD1"/>
    <w:rsid w:val="08406875"/>
    <w:rsid w:val="099D0853"/>
    <w:rsid w:val="0A4A63EE"/>
    <w:rsid w:val="0ACF3E3D"/>
    <w:rsid w:val="0B085734"/>
    <w:rsid w:val="0B2A34DD"/>
    <w:rsid w:val="0BB43441"/>
    <w:rsid w:val="0CA352C8"/>
    <w:rsid w:val="105E6369"/>
    <w:rsid w:val="10732A8B"/>
    <w:rsid w:val="127647DA"/>
    <w:rsid w:val="144828B4"/>
    <w:rsid w:val="15915971"/>
    <w:rsid w:val="16576FB6"/>
    <w:rsid w:val="16B12B32"/>
    <w:rsid w:val="17430BBA"/>
    <w:rsid w:val="19A55B1D"/>
    <w:rsid w:val="19FF64B5"/>
    <w:rsid w:val="1A667CB8"/>
    <w:rsid w:val="1A9B1BB6"/>
    <w:rsid w:val="1AEB38FB"/>
    <w:rsid w:val="1BB73349"/>
    <w:rsid w:val="1C523486"/>
    <w:rsid w:val="1EA416D1"/>
    <w:rsid w:val="1F682713"/>
    <w:rsid w:val="23384096"/>
    <w:rsid w:val="234052E2"/>
    <w:rsid w:val="2411343C"/>
    <w:rsid w:val="26174A8B"/>
    <w:rsid w:val="26817040"/>
    <w:rsid w:val="27E078FA"/>
    <w:rsid w:val="285808BF"/>
    <w:rsid w:val="299E0B55"/>
    <w:rsid w:val="29BB58F6"/>
    <w:rsid w:val="2BC639DD"/>
    <w:rsid w:val="2D945258"/>
    <w:rsid w:val="2DCA36B7"/>
    <w:rsid w:val="2DE02DD3"/>
    <w:rsid w:val="2E331558"/>
    <w:rsid w:val="2F881E8A"/>
    <w:rsid w:val="2FDF2898"/>
    <w:rsid w:val="30291A13"/>
    <w:rsid w:val="31526E8C"/>
    <w:rsid w:val="33A20D45"/>
    <w:rsid w:val="387D1EBD"/>
    <w:rsid w:val="39803610"/>
    <w:rsid w:val="3A0719C4"/>
    <w:rsid w:val="3C8C3692"/>
    <w:rsid w:val="3D0535AB"/>
    <w:rsid w:val="3DE8767B"/>
    <w:rsid w:val="40BA6EBE"/>
    <w:rsid w:val="411F4664"/>
    <w:rsid w:val="419868CB"/>
    <w:rsid w:val="4204145F"/>
    <w:rsid w:val="4412373D"/>
    <w:rsid w:val="444E5B21"/>
    <w:rsid w:val="467F3837"/>
    <w:rsid w:val="4D9B0761"/>
    <w:rsid w:val="4ECA4183"/>
    <w:rsid w:val="506F07A4"/>
    <w:rsid w:val="50F3395B"/>
    <w:rsid w:val="53B35A5D"/>
    <w:rsid w:val="53B434DF"/>
    <w:rsid w:val="53C37401"/>
    <w:rsid w:val="54C93027"/>
    <w:rsid w:val="55820257"/>
    <w:rsid w:val="562A776B"/>
    <w:rsid w:val="56CA1873"/>
    <w:rsid w:val="57E91CCB"/>
    <w:rsid w:val="5811760C"/>
    <w:rsid w:val="58645D91"/>
    <w:rsid w:val="5A5907CA"/>
    <w:rsid w:val="5A893518"/>
    <w:rsid w:val="5D09247E"/>
    <w:rsid w:val="5DC354C6"/>
    <w:rsid w:val="5E6E0B0D"/>
    <w:rsid w:val="5E723E03"/>
    <w:rsid w:val="5FEB5BEE"/>
    <w:rsid w:val="61433C21"/>
    <w:rsid w:val="617745F8"/>
    <w:rsid w:val="63195DA5"/>
    <w:rsid w:val="6358588A"/>
    <w:rsid w:val="64976216"/>
    <w:rsid w:val="65F32C4F"/>
    <w:rsid w:val="66FB4AA0"/>
    <w:rsid w:val="683F41E3"/>
    <w:rsid w:val="688E5E17"/>
    <w:rsid w:val="690A31E2"/>
    <w:rsid w:val="6CC11FF9"/>
    <w:rsid w:val="6D0D4ED4"/>
    <w:rsid w:val="6D827EB8"/>
    <w:rsid w:val="6DCF4734"/>
    <w:rsid w:val="6E485775"/>
    <w:rsid w:val="6E720F21"/>
    <w:rsid w:val="74E654E4"/>
    <w:rsid w:val="76065817"/>
    <w:rsid w:val="771D4C16"/>
    <w:rsid w:val="773D2DAD"/>
    <w:rsid w:val="784400DC"/>
    <w:rsid w:val="785A0150"/>
    <w:rsid w:val="79C96FDE"/>
    <w:rsid w:val="7A2E0F01"/>
    <w:rsid w:val="7A6C09E6"/>
    <w:rsid w:val="7C9522C5"/>
    <w:rsid w:val="7CC0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7484</Words>
  <Characters>7635</Characters>
  <Lines>0</Lines>
  <Paragraphs>0</Paragraphs>
  <TotalTime>2</TotalTime>
  <ScaleCrop>false</ScaleCrop>
  <LinksUpToDate>false</LinksUpToDate>
  <CharactersWithSpaces>7886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2024-07-29T02:05:00Z</dcterms:created>
  <dc:creator>WPS_1663540800</dc:creator>
  <cp:lastModifiedBy>WPS_1663540800</cp:lastModifiedBy>
  <dcterms:modified xsi:type="dcterms:W3CDTF">2024-08-13T06:32:28Z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40B1F846EDD74FD9BD78F8DF4893AF28_13</vt:lpwstr>
  </property>
</Properties>
</file>